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E14" w:rsidRDefault="000A0DE1" w:rsidP="00DE5014">
      <w:pPr>
        <w:pStyle w:val="Heading1"/>
        <w:jc w:val="center"/>
      </w:pPr>
      <w:r>
        <w:t>CASE STUDY: A COMPARISON OF</w:t>
      </w:r>
      <w:r w:rsidR="002B1DBF">
        <w:t xml:space="preserve"> </w:t>
      </w:r>
      <w:r w:rsidR="00FD7147">
        <w:t xml:space="preserve">traditional and modern </w:t>
      </w:r>
      <w:r w:rsidR="003C4E7D">
        <w:t>STORMWATER DESIGN methods</w:t>
      </w:r>
    </w:p>
    <w:p w:rsidR="00164E73" w:rsidRDefault="00164E73" w:rsidP="00553FC6">
      <w:pPr>
        <w:pStyle w:val="Heading1"/>
        <w:numPr>
          <w:ilvl w:val="0"/>
          <w:numId w:val="6"/>
        </w:numPr>
        <w:spacing w:line="480" w:lineRule="auto"/>
      </w:pPr>
      <w:r>
        <w:t>introduction</w:t>
      </w:r>
    </w:p>
    <w:p w:rsidR="00164E73" w:rsidRPr="00164E73" w:rsidRDefault="00164E73" w:rsidP="00553FC6">
      <w:pPr>
        <w:pStyle w:val="Heading2"/>
        <w:numPr>
          <w:ilvl w:val="1"/>
          <w:numId w:val="10"/>
        </w:numPr>
      </w:pPr>
      <w:r w:rsidRPr="00164E73">
        <w:t>Preamble</w:t>
      </w:r>
    </w:p>
    <w:p w:rsidR="002835B1" w:rsidRDefault="00FD7147" w:rsidP="00164E73">
      <w:r>
        <w:t>Accurate</w:t>
      </w:r>
      <w:r w:rsidR="00F67E14">
        <w:t xml:space="preserve"> </w:t>
      </w:r>
      <w:proofErr w:type="spellStart"/>
      <w:r w:rsidR="00F67E14">
        <w:t>stormwater</w:t>
      </w:r>
      <w:proofErr w:type="spellEnd"/>
      <w:r w:rsidR="00F67E14">
        <w:t xml:space="preserve"> </w:t>
      </w:r>
      <w:r w:rsidR="002B1DBF">
        <w:t xml:space="preserve">design </w:t>
      </w:r>
      <w:r w:rsidR="00F67E14">
        <w:t>is necessary to protect Australian populations from the consequences of flooding. In Australia, floods are the most expensive natural disasters, causing large tangible and intangible loss</w:t>
      </w:r>
      <w:r w:rsidR="004608D3">
        <w:t xml:space="preserve"> </w:t>
      </w:r>
      <w:r w:rsidR="00164E73" w:rsidRPr="000A0DE1">
        <w:t>(</w:t>
      </w:r>
      <w:r w:rsidR="000A0DE1" w:rsidRPr="007C1931">
        <w:t>Queensland</w:t>
      </w:r>
      <w:r w:rsidR="000A0DE1" w:rsidRPr="007C1931">
        <w:rPr>
          <w:rStyle w:val="Hyperlink"/>
          <w:color w:val="auto"/>
          <w:u w:val="none"/>
        </w:rPr>
        <w:t xml:space="preserve"> Government, 2011</w:t>
      </w:r>
      <w:r w:rsidR="00164E73" w:rsidRPr="007C1931">
        <w:rPr>
          <w:rStyle w:val="Hyperlink"/>
          <w:color w:val="auto"/>
          <w:u w:val="none"/>
        </w:rPr>
        <w:t>)</w:t>
      </w:r>
      <w:r w:rsidR="004608D3" w:rsidRPr="007C1931">
        <w:t>.</w:t>
      </w:r>
      <w:r w:rsidR="004608D3">
        <w:t xml:space="preserve"> </w:t>
      </w:r>
      <w:r w:rsidR="00F67E14">
        <w:t xml:space="preserve">There is hence strong justification to evaluate the </w:t>
      </w:r>
      <w:r w:rsidR="004608D3">
        <w:t xml:space="preserve">benefits of 1D and 2D computer modeling, and its comparison to dated methods of achieving </w:t>
      </w:r>
      <w:proofErr w:type="spellStart"/>
      <w:r w:rsidR="004608D3">
        <w:t>stormwater</w:t>
      </w:r>
      <w:proofErr w:type="spellEnd"/>
      <w:r w:rsidR="004608D3">
        <w:t xml:space="preserve"> design. </w:t>
      </w:r>
      <w:r w:rsidR="002B1DBF">
        <w:t xml:space="preserve">The reliance on modeling software to allow for accurate </w:t>
      </w:r>
      <w:proofErr w:type="spellStart"/>
      <w:r w:rsidR="002B1DBF">
        <w:t>stormwater</w:t>
      </w:r>
      <w:proofErr w:type="spellEnd"/>
      <w:r w:rsidR="002B1DBF">
        <w:t xml:space="preserve"> design is increasing as </w:t>
      </w:r>
      <w:r>
        <w:t>cities develop</w:t>
      </w:r>
      <w:r w:rsidR="003E468F">
        <w:t>,</w:t>
      </w:r>
      <w:r>
        <w:t xml:space="preserve"> </w:t>
      </w:r>
      <w:r w:rsidR="00164E73">
        <w:t xml:space="preserve">as </w:t>
      </w:r>
      <w:r>
        <w:t>storm events bring increased risk,</w:t>
      </w:r>
      <w:r w:rsidR="003E468F">
        <w:t xml:space="preserve"> and </w:t>
      </w:r>
      <w:r w:rsidR="00164E73">
        <w:t xml:space="preserve">as </w:t>
      </w:r>
      <w:r w:rsidR="003E468F">
        <w:t xml:space="preserve">technology becomes more accessible. </w:t>
      </w:r>
    </w:p>
    <w:p w:rsidR="00FD7147" w:rsidRDefault="00FD7147" w:rsidP="00F67E14">
      <w:r>
        <w:t xml:space="preserve">This case study will rely upon </w:t>
      </w:r>
      <w:r w:rsidR="00DB4BDA">
        <w:t xml:space="preserve">flow volumes </w:t>
      </w:r>
      <w:r>
        <w:t xml:space="preserve">obtained through manual calculation as well as </w:t>
      </w:r>
      <w:r w:rsidR="009B17DB">
        <w:t>1D modeling</w:t>
      </w:r>
      <w:r>
        <w:t xml:space="preserve"> of a small catchment </w:t>
      </w:r>
      <w:r w:rsidR="00527B62">
        <w:t>(less than 1 km</w:t>
      </w:r>
      <w:r w:rsidR="00527B62" w:rsidRPr="00527B62">
        <w:rPr>
          <w:vertAlign w:val="superscript"/>
        </w:rPr>
        <w:t>2</w:t>
      </w:r>
      <w:r w:rsidR="00527B62">
        <w:t>).</w:t>
      </w:r>
      <w:r w:rsidR="00164E73">
        <w:t xml:space="preserve"> The Rational Method was used for major storm design, with Manning’s equation used for minor storm design. For 1D and 2D modeling, XPRAFTS </w:t>
      </w:r>
      <w:r w:rsidR="009B17DB">
        <w:t>was</w:t>
      </w:r>
      <w:r w:rsidR="00164E73">
        <w:t xml:space="preserve"> used to conduct </w:t>
      </w:r>
      <w:proofErr w:type="spellStart"/>
      <w:r w:rsidR="00164E73">
        <w:t>stormwater</w:t>
      </w:r>
      <w:proofErr w:type="spellEnd"/>
      <w:r w:rsidR="00164E73">
        <w:t xml:space="preserve"> designs. </w:t>
      </w:r>
      <w:r w:rsidR="00DB4BDA">
        <w:t xml:space="preserve">A series of design storms </w:t>
      </w:r>
      <w:r w:rsidR="00553FC6">
        <w:t>were used</w:t>
      </w:r>
      <w:r w:rsidR="00DB4BDA">
        <w:t xml:space="preserve"> to evaluate the impact of </w:t>
      </w:r>
      <w:r w:rsidR="00164E73">
        <w:t xml:space="preserve">these </w:t>
      </w:r>
      <w:r w:rsidR="00DB4BDA">
        <w:t xml:space="preserve">storms on a typical suburban catchment. </w:t>
      </w:r>
      <w:r w:rsidR="00527B62">
        <w:t xml:space="preserve">The </w:t>
      </w:r>
      <w:r w:rsidR="00164E73">
        <w:t>flow volume results will be compared to determine agreement of the methods.</w:t>
      </w:r>
    </w:p>
    <w:p w:rsidR="00DE5014" w:rsidRPr="00527B62" w:rsidRDefault="000A0DE1" w:rsidP="00F67E14">
      <w:r>
        <w:t xml:space="preserve">A report published by Australian Rainfall &amp; Runoff </w:t>
      </w:r>
      <w:r w:rsidR="007C1931">
        <w:t>(</w:t>
      </w:r>
      <w:proofErr w:type="spellStart"/>
      <w:r w:rsidR="00761627">
        <w:t>Goyen</w:t>
      </w:r>
      <w:proofErr w:type="spellEnd"/>
      <w:r w:rsidR="00761627">
        <w:t xml:space="preserve"> et. al, 2014)</w:t>
      </w:r>
      <w:r>
        <w:t xml:space="preserve"> states that “…continued use of the Rational Method for urban drainage analysis and design can no longer be justified”.</w:t>
      </w:r>
    </w:p>
    <w:p w:rsidR="002835B1" w:rsidRPr="00553FC6" w:rsidRDefault="00527B62" w:rsidP="00304A6A">
      <w:pPr>
        <w:pStyle w:val="Heading2"/>
        <w:numPr>
          <w:ilvl w:val="1"/>
          <w:numId w:val="10"/>
        </w:numPr>
      </w:pPr>
      <w:r w:rsidRPr="00553FC6">
        <w:t xml:space="preserve">Traditional methods of </w:t>
      </w:r>
      <w:proofErr w:type="spellStart"/>
      <w:r w:rsidRPr="00553FC6">
        <w:t>stormwater</w:t>
      </w:r>
      <w:proofErr w:type="spellEnd"/>
      <w:r w:rsidRPr="00553FC6">
        <w:t xml:space="preserve"> design</w:t>
      </w:r>
    </w:p>
    <w:p w:rsidR="00EB6636" w:rsidRDefault="00527B62" w:rsidP="00F67E14">
      <w:r>
        <w:t xml:space="preserve">The most widely used method for manual calculation of major storm design is the Rational Method. </w:t>
      </w:r>
      <w:r w:rsidR="00CC159D">
        <w:t>The Rational Method was first referenced in Australia by Australian Rainfall &amp; Runoff in 1958</w:t>
      </w:r>
      <w:r w:rsidR="00557103">
        <w:t>;</w:t>
      </w:r>
      <w:r w:rsidR="00CC159D">
        <w:t xml:space="preserve"> however, its use can be traced back to the mid-eighteenth century</w:t>
      </w:r>
      <w:r>
        <w:t xml:space="preserve"> (</w:t>
      </w:r>
      <w:proofErr w:type="spellStart"/>
      <w:r w:rsidR="00761627">
        <w:t>Goyen</w:t>
      </w:r>
      <w:proofErr w:type="spellEnd"/>
      <w:r w:rsidR="00761627">
        <w:t xml:space="preserve"> et. al</w:t>
      </w:r>
      <w:r w:rsidR="009425BD">
        <w:t>, 2014</w:t>
      </w:r>
      <w:r>
        <w:t>)</w:t>
      </w:r>
      <w:r w:rsidR="00CC159D">
        <w:t>.</w:t>
      </w:r>
      <w:r>
        <w:t xml:space="preserve"> The formula, although simple in appearance, can be used as an approximation for overland flow volumes in </w:t>
      </w:r>
      <w:r w:rsidR="00343675">
        <w:t xml:space="preserve">urban </w:t>
      </w:r>
      <w:r>
        <w:t xml:space="preserve">catchments up to 500 </w:t>
      </w:r>
      <w:r w:rsidR="00343675">
        <w:t>ha</w:t>
      </w:r>
      <w:r>
        <w:t>.</w:t>
      </w:r>
      <w:r w:rsidR="00CC159D">
        <w:t xml:space="preserve"> </w:t>
      </w:r>
    </w:p>
    <w:p w:rsidR="002835B1" w:rsidRDefault="00CC159D" w:rsidP="00F67E14">
      <w:r>
        <w:t>A number of councils and water authorities have published their own recommendations on how to use the formula, which makes use of a runoff coeffic</w:t>
      </w:r>
      <w:r w:rsidR="00C960C4">
        <w:t>ient and time of concentration. These values are estimated based upon the nature of the catchment, and can easily be conte</w:t>
      </w:r>
      <w:r w:rsidR="00833843">
        <w:t>sted between designers</w:t>
      </w:r>
      <w:r w:rsidR="00C960C4">
        <w:t xml:space="preserve">, causing disagreement </w:t>
      </w:r>
      <w:r w:rsidR="008324B2">
        <w:t>with</w:t>
      </w:r>
      <w:r w:rsidR="00C960C4">
        <w:t xml:space="preserve"> the obtained results.  </w:t>
      </w:r>
    </w:p>
    <w:p w:rsidR="00B60984" w:rsidRPr="00553FC6" w:rsidRDefault="00B60984" w:rsidP="00553FC6">
      <w:pPr>
        <w:pStyle w:val="Heading3"/>
        <w:numPr>
          <w:ilvl w:val="2"/>
          <w:numId w:val="14"/>
        </w:numPr>
      </w:pPr>
      <w:r w:rsidRPr="00553FC6">
        <w:t xml:space="preserve">Rational Method </w:t>
      </w:r>
      <w:r w:rsidR="00796BE5" w:rsidRPr="00553FC6">
        <w:t>f</w:t>
      </w:r>
      <w:r w:rsidRPr="00553FC6">
        <w:t>ormula</w:t>
      </w:r>
    </w:p>
    <w:p w:rsidR="00E23220" w:rsidRDefault="00D933A9" w:rsidP="00E23220">
      <w:pPr>
        <w:rPr>
          <w:rFonts w:eastAsiaTheme="minorEastAsia"/>
        </w:rPr>
      </w:pPr>
      <w:r>
        <w:rPr>
          <w:rFonts w:eastAsiaTheme="minorEastAsia"/>
        </w:rPr>
        <w:t xml:space="preserve">The Rational Method </w:t>
      </w:r>
      <w:r w:rsidR="00F7193D">
        <w:rPr>
          <w:rFonts w:eastAsiaTheme="minorEastAsia"/>
        </w:rPr>
        <w:t>provides a</w:t>
      </w:r>
      <w:r>
        <w:rPr>
          <w:rFonts w:eastAsiaTheme="minorEastAsia"/>
        </w:rPr>
        <w:t xml:space="preserve"> simplistic model for </w:t>
      </w:r>
      <w:r w:rsidR="00E23220">
        <w:rPr>
          <w:rFonts w:eastAsiaTheme="minorEastAsia"/>
        </w:rPr>
        <w:t xml:space="preserve">overland </w:t>
      </w:r>
      <w:r>
        <w:rPr>
          <w:rFonts w:eastAsiaTheme="minorEastAsia"/>
        </w:rPr>
        <w:t xml:space="preserve">flow through a catchment during </w:t>
      </w:r>
      <w:r w:rsidR="00E23220">
        <w:rPr>
          <w:rFonts w:eastAsiaTheme="minorEastAsia"/>
        </w:rPr>
        <w:t>specified</w:t>
      </w:r>
      <w:r>
        <w:rPr>
          <w:rFonts w:eastAsiaTheme="minorEastAsia"/>
        </w:rPr>
        <w:t xml:space="preserve"> storm duration</w:t>
      </w:r>
      <w:r w:rsidR="00E23220">
        <w:rPr>
          <w:rFonts w:eastAsiaTheme="minorEastAsia"/>
        </w:rPr>
        <w:t>s</w:t>
      </w:r>
      <w:r>
        <w:rPr>
          <w:rFonts w:eastAsiaTheme="minorEastAsia"/>
        </w:rPr>
        <w:t>.</w:t>
      </w:r>
      <w:r w:rsidR="00E23220">
        <w:rPr>
          <w:rFonts w:eastAsiaTheme="minorEastAsia"/>
        </w:rPr>
        <w:t xml:space="preserve"> The Rational Method formula is typically stated as</w:t>
      </w:r>
    </w:p>
    <w:p w:rsidR="00E23220" w:rsidRPr="00E23220" w:rsidRDefault="006F2693" w:rsidP="00E23220">
      <w:pPr>
        <w:jc w:val="center"/>
        <w:rPr>
          <w:rFonts w:eastAsiaTheme="minorEastAsia"/>
        </w:rPr>
      </w:pPr>
      <m:oMath>
        <m:sSub>
          <m:sSubPr>
            <m:ctrlPr>
              <w:rPr>
                <w:rFonts w:ascii="Cambria Math" w:hAnsi="Cambria Math"/>
                <w:i/>
                <w:sz w:val="28"/>
              </w:rPr>
            </m:ctrlPr>
          </m:sSubPr>
          <m:e>
            <m:r>
              <w:rPr>
                <w:rFonts w:ascii="Cambria Math" w:hAnsi="Cambria Math"/>
                <w:sz w:val="28"/>
              </w:rPr>
              <m:t>Q</m:t>
            </m:r>
          </m:e>
          <m:sub>
            <m:r>
              <w:rPr>
                <w:rFonts w:ascii="Cambria Math" w:hAnsi="Cambria Math"/>
                <w:sz w:val="28"/>
              </w:rPr>
              <m:t>y</m:t>
            </m:r>
          </m:sub>
        </m:sSub>
        <m:r>
          <w:rPr>
            <w:rFonts w:ascii="Cambria Math" w:hAnsi="Cambria Math"/>
            <w:sz w:val="28"/>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C</m:t>
                </m:r>
              </m:e>
              <m:sub>
                <m:r>
                  <w:rPr>
                    <w:rFonts w:ascii="Cambria Math" w:hAnsi="Cambria Math"/>
                    <w:sz w:val="28"/>
                  </w:rPr>
                  <m:t>y</m:t>
                </m:r>
              </m:sub>
            </m:sSub>
            <m:sSup>
              <m:sSupPr>
                <m:ctrlPr>
                  <w:rPr>
                    <w:rFonts w:ascii="Cambria Math" w:hAnsi="Cambria Math"/>
                    <w:i/>
                    <w:sz w:val="28"/>
                  </w:rPr>
                </m:ctrlPr>
              </m:sSupPr>
              <m:e>
                <m:sSup>
                  <m:sSupPr>
                    <m:ctrlPr>
                      <w:rPr>
                        <w:rFonts w:ascii="Cambria Math" w:hAnsi="Cambria Math"/>
                        <w:i/>
                        <w:sz w:val="28"/>
                      </w:rPr>
                    </m:ctrlPr>
                  </m:sSupPr>
                  <m:e>
                    <m:r>
                      <w:rPr>
                        <w:rFonts w:ascii="Cambria Math" w:hAnsi="Cambria Math"/>
                        <w:sz w:val="28"/>
                      </w:rPr>
                      <m:t>.</m:t>
                    </m:r>
                  </m:e>
                  <m:sup>
                    <m:r>
                      <w:rPr>
                        <w:rFonts w:ascii="Cambria Math" w:hAnsi="Cambria Math"/>
                        <w:sz w:val="28"/>
                      </w:rPr>
                      <m:t xml:space="preserve"> </m:t>
                    </m:r>
                  </m:sup>
                </m:sSup>
              </m:e>
              <m:sup>
                <m:r>
                  <w:rPr>
                    <w:rFonts w:ascii="Cambria Math" w:hAnsi="Cambria Math"/>
                    <w:sz w:val="28"/>
                  </w:rPr>
                  <m:t>t</m:t>
                </m:r>
              </m:sup>
            </m:sSup>
            <m:sSub>
              <m:sSubPr>
                <m:ctrlPr>
                  <w:rPr>
                    <w:rFonts w:ascii="Cambria Math" w:hAnsi="Cambria Math"/>
                    <w:i/>
                    <w:sz w:val="28"/>
                  </w:rPr>
                </m:ctrlPr>
              </m:sSubPr>
              <m:e>
                <m:r>
                  <w:rPr>
                    <w:rFonts w:ascii="Cambria Math" w:hAnsi="Cambria Math"/>
                    <w:sz w:val="28"/>
                  </w:rPr>
                  <m:t>I</m:t>
                </m:r>
              </m:e>
              <m:sub>
                <m:r>
                  <w:rPr>
                    <w:rFonts w:ascii="Cambria Math" w:hAnsi="Cambria Math"/>
                    <w:sz w:val="28"/>
                  </w:rPr>
                  <m:t>y</m:t>
                </m:r>
              </m:sub>
            </m:sSub>
            <m:r>
              <w:rPr>
                <w:rFonts w:ascii="Cambria Math" w:hAnsi="Cambria Math"/>
                <w:sz w:val="28"/>
              </w:rPr>
              <m:t>.A</m:t>
            </m:r>
          </m:num>
          <m:den>
            <m:r>
              <w:rPr>
                <w:rFonts w:ascii="Cambria Math" w:hAnsi="Cambria Math"/>
                <w:sz w:val="28"/>
              </w:rPr>
              <m:t>360</m:t>
            </m:r>
          </m:den>
        </m:f>
      </m:oMath>
      <w:r w:rsidR="004B25FB" w:rsidRPr="001420FD">
        <w:rPr>
          <w:rFonts w:eastAsiaTheme="minorEastAsia"/>
          <w:sz w:val="28"/>
        </w:rPr>
        <w:t xml:space="preserve"> </w:t>
      </w:r>
      <w:r w:rsidR="009425BD">
        <w:rPr>
          <w:rFonts w:eastAsiaTheme="minorEastAsia"/>
        </w:rPr>
        <w:t>(QUDM, 2013)</w:t>
      </w:r>
    </w:p>
    <w:p w:rsidR="003C4E7D" w:rsidRDefault="00E23220" w:rsidP="003C4E7D">
      <w:pPr>
        <w:ind w:left="720"/>
        <w:jc w:val="left"/>
        <w:rPr>
          <w:rFonts w:eastAsiaTheme="minorEastAsia"/>
        </w:rPr>
      </w:pPr>
      <w:proofErr w:type="gramStart"/>
      <w:r>
        <w:rPr>
          <w:rFonts w:eastAsiaTheme="minorEastAsia"/>
        </w:rPr>
        <w:lastRenderedPageBreak/>
        <w:t>where</w:t>
      </w:r>
      <w:proofErr w:type="gramEnd"/>
      <w:r>
        <w:rPr>
          <w:rFonts w:eastAsiaTheme="minorEastAsia"/>
        </w:rPr>
        <w:t xml:space="preserve"> </w:t>
      </w:r>
      <m:oMath>
        <m:sSub>
          <m:sSubPr>
            <m:ctrlPr>
              <w:rPr>
                <w:rFonts w:ascii="Cambria Math" w:hAnsi="Cambria Math"/>
                <w:i/>
              </w:rPr>
            </m:ctrlPr>
          </m:sSubPr>
          <m:e>
            <m:r>
              <w:rPr>
                <w:rFonts w:ascii="Cambria Math" w:hAnsi="Cambria Math"/>
              </w:rPr>
              <m:t>C</m:t>
            </m:r>
          </m:e>
          <m:sub>
            <m:r>
              <w:rPr>
                <w:rFonts w:ascii="Cambria Math" w:hAnsi="Cambria Math"/>
              </w:rPr>
              <m:t>y</m:t>
            </m:r>
          </m:sub>
        </m:sSub>
      </m:oMath>
      <w:r>
        <w:rPr>
          <w:rFonts w:eastAsiaTheme="minorEastAsia"/>
        </w:rPr>
        <w:t xml:space="preserve"> = coefficient of discharge for 1-in-</w:t>
      </w:r>
      <m:oMath>
        <m:r>
          <w:rPr>
            <w:rFonts w:ascii="Cambria Math" w:hAnsi="Cambria Math"/>
          </w:rPr>
          <m:t xml:space="preserve"> y</m:t>
        </m:r>
      </m:oMath>
      <w:r w:rsidR="003C4E7D">
        <w:rPr>
          <w:rFonts w:eastAsiaTheme="minorEastAsia"/>
        </w:rPr>
        <w:t xml:space="preserve"> year storm</w:t>
      </w:r>
    </w:p>
    <w:p w:rsidR="00D933A9" w:rsidRPr="00DB4BDA" w:rsidRDefault="00F7193D" w:rsidP="003C4E7D">
      <w:pPr>
        <w:ind w:left="720"/>
        <w:jc w:val="left"/>
        <w:rPr>
          <w:rFonts w:eastAsiaTheme="minorEastAsia"/>
        </w:rPr>
      </w:pPr>
      <w:r>
        <w:rPr>
          <w:rFonts w:eastAsiaTheme="minorEastAsia"/>
        </w:rPr>
        <w:t xml:space="preserve">        </w:t>
      </w:r>
      <m:oMath>
        <m:sSup>
          <m:sSupPr>
            <m:ctrlPr>
              <w:rPr>
                <w:rFonts w:ascii="Cambria Math" w:hAnsi="Cambria Math"/>
                <w:i/>
              </w:rPr>
            </m:ctrlPr>
          </m:sSupPr>
          <m:e>
            <m:sSup>
              <m:sSupPr>
                <m:ctrlPr>
                  <w:rPr>
                    <w:rFonts w:ascii="Cambria Math" w:hAnsi="Cambria Math"/>
                    <w:i/>
                  </w:rPr>
                </m:ctrlPr>
              </m:sSupPr>
              <m:e>
                <m:r>
                  <w:rPr>
                    <w:rFonts w:ascii="Cambria Math" w:hAnsi="Cambria Math"/>
                    <w:color w:val="FFFFFF" w:themeColor="background1"/>
                  </w:rPr>
                  <m:t>A</m:t>
                </m:r>
              </m:e>
              <m:sup>
                <m:r>
                  <w:rPr>
                    <w:rFonts w:ascii="Cambria Math" w:hAnsi="Cambria Math"/>
                  </w:rPr>
                  <m:t xml:space="preserve"> </m:t>
                </m:r>
              </m:sup>
            </m:sSup>
          </m:e>
          <m:sup>
            <m:r>
              <w:rPr>
                <w:rFonts w:ascii="Cambria Math" w:hAnsi="Cambria Math"/>
              </w:rPr>
              <m:t>t</m:t>
            </m:r>
          </m:sup>
        </m:sSup>
        <m:sSub>
          <m:sSubPr>
            <m:ctrlPr>
              <w:rPr>
                <w:rFonts w:ascii="Cambria Math" w:hAnsi="Cambria Math"/>
                <w:i/>
              </w:rPr>
            </m:ctrlPr>
          </m:sSubPr>
          <m:e>
            <m:r>
              <w:rPr>
                <w:rFonts w:ascii="Cambria Math" w:hAnsi="Cambria Math"/>
              </w:rPr>
              <m:t>I</m:t>
            </m:r>
          </m:e>
          <m:sub>
            <m:r>
              <w:rPr>
                <w:rFonts w:ascii="Cambria Math" w:hAnsi="Cambria Math"/>
              </w:rPr>
              <m:t>y</m:t>
            </m:r>
          </m:sub>
        </m:sSub>
      </m:oMath>
      <w:r w:rsidR="00E23220">
        <w:rPr>
          <w:rFonts w:eastAsiaTheme="minorEastAsia"/>
        </w:rPr>
        <w:t xml:space="preserve"> = rainfall intensity for 1-in-</w:t>
      </w:r>
      <m:oMath>
        <m:r>
          <w:rPr>
            <w:rFonts w:ascii="Cambria Math" w:hAnsi="Cambria Math"/>
          </w:rPr>
          <m:t xml:space="preserve"> y</m:t>
        </m:r>
      </m:oMath>
      <w:r w:rsidR="00E23220">
        <w:rPr>
          <w:rFonts w:eastAsiaTheme="minorEastAsia"/>
        </w:rPr>
        <w:t xml:space="preserve"> year storm, for storm duration </w:t>
      </w:r>
      <m:oMath>
        <m:r>
          <w:rPr>
            <w:rFonts w:ascii="Cambria Math" w:hAnsi="Cambria Math"/>
          </w:rPr>
          <m:t>t</m:t>
        </m:r>
      </m:oMath>
      <w:r>
        <w:rPr>
          <w:rFonts w:eastAsiaTheme="minorEastAsia"/>
        </w:rPr>
        <w:t xml:space="preserve"> (mm/hr)</w:t>
      </w:r>
      <w:r>
        <w:rPr>
          <w:rFonts w:eastAsiaTheme="minorEastAsia"/>
        </w:rPr>
        <w:br/>
        <w:t xml:space="preserve">             </w:t>
      </w:r>
      <m:oMath>
        <m:r>
          <w:rPr>
            <w:rFonts w:ascii="Cambria Math" w:hAnsi="Cambria Math"/>
          </w:rPr>
          <m:t>A</m:t>
        </m:r>
      </m:oMath>
      <w:r>
        <w:rPr>
          <w:rFonts w:eastAsiaTheme="minorEastAsia"/>
        </w:rPr>
        <w:t xml:space="preserve"> = catchment area (ha)</w:t>
      </w:r>
    </w:p>
    <w:p w:rsidR="008324B2" w:rsidRDefault="006F2693" w:rsidP="00F67E14">
      <w:pPr>
        <w:rPr>
          <w:rFonts w:eastAsiaTheme="minorEastAsia"/>
        </w:rPr>
      </w:pPr>
      <m:oMath>
        <m:sSub>
          <m:sSubPr>
            <m:ctrlPr>
              <w:rPr>
                <w:rFonts w:ascii="Cambria Math" w:hAnsi="Cambria Math"/>
                <w:i/>
              </w:rPr>
            </m:ctrlPr>
          </m:sSubPr>
          <m:e>
            <m:r>
              <w:rPr>
                <w:rFonts w:ascii="Cambria Math" w:hAnsi="Cambria Math"/>
              </w:rPr>
              <m:t>C</m:t>
            </m:r>
          </m:e>
          <m:sub>
            <m:r>
              <w:rPr>
                <w:rFonts w:ascii="Cambria Math" w:hAnsi="Cambria Math"/>
              </w:rPr>
              <m:t>y</m:t>
            </m:r>
          </m:sub>
        </m:sSub>
      </m:oMath>
      <w:r w:rsidR="008324B2">
        <w:rPr>
          <w:rFonts w:eastAsiaTheme="minorEastAsia"/>
        </w:rPr>
        <w:t xml:space="preserve"> </w:t>
      </w:r>
      <w:proofErr w:type="gramStart"/>
      <w:r w:rsidR="008324B2">
        <w:rPr>
          <w:rFonts w:eastAsiaTheme="minorEastAsia"/>
        </w:rPr>
        <w:t>is</w:t>
      </w:r>
      <w:proofErr w:type="gramEnd"/>
      <w:r w:rsidR="008324B2">
        <w:rPr>
          <w:rFonts w:eastAsiaTheme="minorEastAsia"/>
        </w:rPr>
        <w:t xml:space="preserve"> a coefficient that is based upon the density of the catchment</w:t>
      </w:r>
      <w:r w:rsidR="00F7193D">
        <w:rPr>
          <w:rFonts w:eastAsiaTheme="minorEastAsia"/>
        </w:rPr>
        <w:t>, or</w:t>
      </w:r>
      <w:r w:rsidR="008324B2">
        <w:rPr>
          <w:rFonts w:eastAsiaTheme="minorEastAsia"/>
        </w:rPr>
        <w:t xml:space="preserve"> impervious fraction of the catchment. The actual impervious fraction </w:t>
      </w:r>
      <w:r w:rsidR="00F7193D">
        <w:rPr>
          <w:rFonts w:eastAsiaTheme="minorEastAsia"/>
        </w:rPr>
        <w:t>is ideally</w:t>
      </w:r>
      <w:r w:rsidR="008324B2">
        <w:rPr>
          <w:rFonts w:eastAsiaTheme="minorEastAsia"/>
        </w:rPr>
        <w:t xml:space="preserve"> calculated</w:t>
      </w:r>
      <w:r w:rsidR="00F7193D">
        <w:rPr>
          <w:rFonts w:eastAsiaTheme="minorEastAsia"/>
        </w:rPr>
        <w:t>,</w:t>
      </w:r>
      <w:r w:rsidR="008324B2">
        <w:rPr>
          <w:rFonts w:eastAsiaTheme="minorEastAsia"/>
        </w:rPr>
        <w:t xml:space="preserve"> but recommendations are provided based upon typical values for certain developments. </w:t>
      </w:r>
      <w:r w:rsidR="00F7193D">
        <w:rPr>
          <w:rFonts w:eastAsiaTheme="minorEastAsia"/>
        </w:rPr>
        <w:t xml:space="preserve">The </w:t>
      </w:r>
      <w:r w:rsidR="008621BF">
        <w:rPr>
          <w:rFonts w:eastAsiaTheme="minorEastAsia"/>
        </w:rPr>
        <w:t xml:space="preserve">chosen storm duration is often the </w:t>
      </w:r>
      <w:r w:rsidR="00F7193D">
        <w:rPr>
          <w:rFonts w:eastAsiaTheme="minorEastAsia"/>
        </w:rPr>
        <w:t>major point of contention when using the Rational Met</w:t>
      </w:r>
      <w:r w:rsidR="008621BF">
        <w:rPr>
          <w:rFonts w:eastAsiaTheme="minorEastAsia"/>
        </w:rPr>
        <w:t xml:space="preserve">hod. A shorter storm will provide </w:t>
      </w:r>
      <w:r w:rsidR="00721A60">
        <w:rPr>
          <w:rFonts w:eastAsiaTheme="minorEastAsia"/>
        </w:rPr>
        <w:t>higher</w:t>
      </w:r>
      <w:r w:rsidR="008621BF">
        <w:rPr>
          <w:rFonts w:eastAsiaTheme="minorEastAsia"/>
        </w:rPr>
        <w:t xml:space="preserve"> rainfall intensity, but will not necessarily result in more overall rainfall, which is an important consideration for </w:t>
      </w:r>
      <w:proofErr w:type="spellStart"/>
      <w:r w:rsidR="008621BF">
        <w:rPr>
          <w:rFonts w:eastAsiaTheme="minorEastAsia"/>
        </w:rPr>
        <w:t>stormwater</w:t>
      </w:r>
      <w:proofErr w:type="spellEnd"/>
      <w:r w:rsidR="008621BF">
        <w:rPr>
          <w:rFonts w:eastAsiaTheme="minorEastAsia"/>
        </w:rPr>
        <w:t xml:space="preserve"> systems with detention basins. </w:t>
      </w:r>
      <w:r w:rsidR="004B25FB">
        <w:rPr>
          <w:rFonts w:eastAsiaTheme="minorEastAsia"/>
        </w:rPr>
        <w:t>The time of concentration (time taken for rainfall to flow from farthest point to outlet) can be estimated using:</w:t>
      </w:r>
    </w:p>
    <w:p w:rsidR="00343675" w:rsidRDefault="00343675" w:rsidP="004B25FB">
      <w:pPr>
        <w:pStyle w:val="ListParagraph"/>
        <w:numPr>
          <w:ilvl w:val="0"/>
          <w:numId w:val="5"/>
        </w:numPr>
        <w:jc w:val="center"/>
        <w:rPr>
          <w:rFonts w:eastAsiaTheme="minorEastAsia"/>
        </w:rPr>
      </w:pPr>
      <w:r>
        <w:rPr>
          <w:rFonts w:eastAsiaTheme="minorEastAsia"/>
        </w:rPr>
        <w:t>Friend’s equation</w:t>
      </w:r>
      <w:r w:rsidR="004B25FB">
        <w:rPr>
          <w:rFonts w:eastAsiaTheme="minorEastAsia"/>
        </w:rPr>
        <w:t xml:space="preserve">: </w:t>
      </w:r>
      <m:oMath>
        <m:sSub>
          <m:sSubPr>
            <m:ctrlPr>
              <w:rPr>
                <w:rFonts w:ascii="Cambria Math" w:eastAsiaTheme="minorEastAsia" w:hAnsi="Cambria Math"/>
                <w:i/>
                <w:sz w:val="28"/>
              </w:rPr>
            </m:ctrlPr>
          </m:sSubPr>
          <m:e>
            <m:r>
              <w:rPr>
                <w:rFonts w:ascii="Cambria Math" w:eastAsiaTheme="minorEastAsia" w:hAnsi="Cambria Math"/>
                <w:sz w:val="28"/>
              </w:rPr>
              <m:t>t</m:t>
            </m:r>
          </m:e>
          <m:sub>
            <m:r>
              <w:rPr>
                <w:rFonts w:ascii="Cambria Math" w:eastAsiaTheme="minorEastAsia" w:hAnsi="Cambria Math"/>
                <w:sz w:val="28"/>
              </w:rPr>
              <m:t>c</m:t>
            </m:r>
          </m:sub>
        </m:sSub>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107n</m:t>
            </m:r>
            <m:sSup>
              <m:sSupPr>
                <m:ctrlPr>
                  <w:rPr>
                    <w:rFonts w:ascii="Cambria Math" w:eastAsiaTheme="minorEastAsia" w:hAnsi="Cambria Math"/>
                    <w:i/>
                    <w:sz w:val="28"/>
                  </w:rPr>
                </m:ctrlPr>
              </m:sSupPr>
              <m:e>
                <m:r>
                  <w:rPr>
                    <w:rFonts w:ascii="Cambria Math" w:eastAsiaTheme="minorEastAsia" w:hAnsi="Cambria Math"/>
                    <w:sz w:val="28"/>
                  </w:rPr>
                  <m:t>L</m:t>
                </m:r>
              </m:e>
              <m:sup>
                <m:r>
                  <w:rPr>
                    <w:rFonts w:ascii="Cambria Math" w:eastAsiaTheme="minorEastAsia" w:hAnsi="Cambria Math"/>
                    <w:sz w:val="28"/>
                  </w:rPr>
                  <m:t>0.333</m:t>
                </m:r>
              </m:sup>
            </m:sSup>
          </m:num>
          <m:den>
            <m:sSup>
              <m:sSupPr>
                <m:ctrlPr>
                  <w:rPr>
                    <w:rFonts w:ascii="Cambria Math" w:eastAsiaTheme="minorEastAsia" w:hAnsi="Cambria Math"/>
                    <w:i/>
                    <w:sz w:val="28"/>
                  </w:rPr>
                </m:ctrlPr>
              </m:sSupPr>
              <m:e>
                <m:r>
                  <w:rPr>
                    <w:rFonts w:ascii="Cambria Math" w:eastAsiaTheme="minorEastAsia" w:hAnsi="Cambria Math"/>
                    <w:sz w:val="28"/>
                  </w:rPr>
                  <m:t>S</m:t>
                </m:r>
              </m:e>
              <m:sup>
                <m:r>
                  <w:rPr>
                    <w:rFonts w:ascii="Cambria Math" w:eastAsiaTheme="minorEastAsia" w:hAnsi="Cambria Math"/>
                    <w:sz w:val="28"/>
                  </w:rPr>
                  <m:t>0.2</m:t>
                </m:r>
              </m:sup>
            </m:sSup>
          </m:den>
        </m:f>
      </m:oMath>
      <w:r w:rsidR="004B25FB">
        <w:rPr>
          <w:rFonts w:eastAsiaTheme="minorEastAsia"/>
          <w:sz w:val="28"/>
        </w:rPr>
        <w:t xml:space="preserve"> </w:t>
      </w:r>
      <w:r w:rsidR="009425BD">
        <w:rPr>
          <w:rFonts w:eastAsiaTheme="minorEastAsia"/>
        </w:rPr>
        <w:t>(QUDM, 2013)</w:t>
      </w:r>
      <w:r w:rsidR="004B25FB" w:rsidRPr="004B25FB">
        <w:rPr>
          <w:rFonts w:eastAsiaTheme="minorEastAsia"/>
        </w:rPr>
        <w:t xml:space="preserve"> </w:t>
      </w:r>
    </w:p>
    <w:p w:rsidR="00260A86" w:rsidRDefault="00260A86" w:rsidP="00260A86">
      <w:pPr>
        <w:pStyle w:val="ListParagraph"/>
        <w:rPr>
          <w:rFonts w:eastAsiaTheme="minorEastAsia"/>
        </w:rPr>
      </w:pPr>
      <w:proofErr w:type="gramStart"/>
      <w:r>
        <w:rPr>
          <w:rFonts w:eastAsiaTheme="minorEastAsia"/>
        </w:rPr>
        <w:t>where</w:t>
      </w:r>
      <w:proofErr w:type="gramEnd"/>
      <w:r>
        <w:rPr>
          <w:rFonts w:eastAsiaTheme="minorEastAsia"/>
        </w:rPr>
        <w:t xml:space="preserve"> n = Horton’s roughness coefficient</w:t>
      </w:r>
    </w:p>
    <w:p w:rsidR="00260A86" w:rsidRDefault="00260A86" w:rsidP="00260A86">
      <w:pPr>
        <w:pStyle w:val="ListParagraph"/>
        <w:rPr>
          <w:rFonts w:eastAsiaTheme="minorEastAsia"/>
        </w:rPr>
      </w:pPr>
      <w:r>
        <w:rPr>
          <w:rFonts w:eastAsiaTheme="minorEastAsia"/>
        </w:rPr>
        <w:t>L = length of channel (m)</w:t>
      </w:r>
    </w:p>
    <w:p w:rsidR="00260A86" w:rsidRDefault="00260A86" w:rsidP="00260A86">
      <w:pPr>
        <w:pStyle w:val="ListParagraph"/>
        <w:rPr>
          <w:rFonts w:eastAsiaTheme="minorEastAsia"/>
        </w:rPr>
      </w:pPr>
      <w:r>
        <w:rPr>
          <w:rFonts w:eastAsiaTheme="minorEastAsia"/>
        </w:rPr>
        <w:t>S = slope of channel (%)</w:t>
      </w:r>
    </w:p>
    <w:p w:rsidR="001420FD" w:rsidRDefault="001420FD" w:rsidP="00260A86">
      <w:pPr>
        <w:pStyle w:val="ListParagraph"/>
        <w:rPr>
          <w:rFonts w:eastAsiaTheme="minorEastAsia"/>
        </w:rPr>
      </w:pPr>
    </w:p>
    <w:p w:rsidR="004B25FB" w:rsidRDefault="001420FD" w:rsidP="004B25FB">
      <w:pPr>
        <w:pStyle w:val="ListParagraph"/>
        <w:rPr>
          <w:rFonts w:eastAsiaTheme="minorEastAsia"/>
        </w:rPr>
      </w:pPr>
      <w:r>
        <w:rPr>
          <w:rFonts w:eastAsiaTheme="minorEastAsia"/>
        </w:rPr>
        <w:t xml:space="preserve">Or </w:t>
      </w:r>
    </w:p>
    <w:p w:rsidR="004B25FB" w:rsidRDefault="00343675" w:rsidP="004B25FB">
      <w:pPr>
        <w:pStyle w:val="ListParagraph"/>
        <w:numPr>
          <w:ilvl w:val="0"/>
          <w:numId w:val="5"/>
        </w:numPr>
        <w:jc w:val="center"/>
        <w:rPr>
          <w:rFonts w:eastAsiaTheme="minorEastAsia"/>
        </w:rPr>
      </w:pPr>
      <w:r w:rsidRPr="004B25FB">
        <w:rPr>
          <w:rFonts w:eastAsiaTheme="minorEastAsia"/>
        </w:rPr>
        <w:t>Kinematic wave equation</w:t>
      </w:r>
      <w:r w:rsidR="004B25FB" w:rsidRPr="004B25FB">
        <w:rPr>
          <w:rFonts w:eastAsiaTheme="minorEastAsia"/>
        </w:rPr>
        <w:t xml:space="preserve">: </w:t>
      </w:r>
      <m:oMath>
        <m:sSub>
          <m:sSubPr>
            <m:ctrlPr>
              <w:rPr>
                <w:rFonts w:ascii="Cambria Math" w:eastAsiaTheme="minorEastAsia" w:hAnsi="Cambria Math"/>
                <w:i/>
                <w:sz w:val="28"/>
              </w:rPr>
            </m:ctrlPr>
          </m:sSubPr>
          <m:e>
            <m:r>
              <w:rPr>
                <w:rFonts w:ascii="Cambria Math" w:eastAsiaTheme="minorEastAsia" w:hAnsi="Cambria Math"/>
                <w:sz w:val="28"/>
              </w:rPr>
              <m:t>t</m:t>
            </m:r>
          </m:e>
          <m:sub>
            <m:r>
              <w:rPr>
                <w:rFonts w:ascii="Cambria Math" w:eastAsiaTheme="minorEastAsia" w:hAnsi="Cambria Math"/>
                <w:sz w:val="28"/>
              </w:rPr>
              <m:t>c</m:t>
            </m:r>
          </m:sub>
        </m:sSub>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6.94</m:t>
            </m:r>
            <m:sSup>
              <m:sSupPr>
                <m:ctrlPr>
                  <w:rPr>
                    <w:rFonts w:ascii="Cambria Math" w:eastAsiaTheme="minorEastAsia" w:hAnsi="Cambria Math"/>
                    <w:i/>
                    <w:sz w:val="28"/>
                  </w:rPr>
                </m:ctrlPr>
              </m:sSupPr>
              <m:e>
                <m:r>
                  <w:rPr>
                    <w:rFonts w:ascii="Cambria Math" w:eastAsiaTheme="minorEastAsia" w:hAnsi="Cambria Math"/>
                    <w:sz w:val="28"/>
                  </w:rPr>
                  <m:t>(Ln)</m:t>
                </m:r>
              </m:e>
              <m:sup>
                <m:r>
                  <w:rPr>
                    <w:rFonts w:ascii="Cambria Math" w:eastAsiaTheme="minorEastAsia" w:hAnsi="Cambria Math"/>
                    <w:sz w:val="28"/>
                  </w:rPr>
                  <m:t>0.6</m:t>
                </m:r>
              </m:sup>
            </m:sSup>
          </m:num>
          <m:den>
            <m:sSup>
              <m:sSupPr>
                <m:ctrlPr>
                  <w:rPr>
                    <w:rFonts w:ascii="Cambria Math" w:eastAsiaTheme="minorEastAsia" w:hAnsi="Cambria Math"/>
                    <w:i/>
                    <w:sz w:val="28"/>
                  </w:rPr>
                </m:ctrlPr>
              </m:sSupPr>
              <m:e>
                <m:r>
                  <w:rPr>
                    <w:rFonts w:ascii="Cambria Math" w:eastAsiaTheme="minorEastAsia" w:hAnsi="Cambria Math"/>
                    <w:sz w:val="28"/>
                  </w:rPr>
                  <m:t>I</m:t>
                </m:r>
              </m:e>
              <m:sup>
                <m:r>
                  <w:rPr>
                    <w:rFonts w:ascii="Cambria Math" w:eastAsiaTheme="minorEastAsia" w:hAnsi="Cambria Math"/>
                    <w:sz w:val="28"/>
                  </w:rPr>
                  <m:t>0.4</m:t>
                </m:r>
              </m:sup>
            </m:sSup>
            <m:sSup>
              <m:sSupPr>
                <m:ctrlPr>
                  <w:rPr>
                    <w:rFonts w:ascii="Cambria Math" w:eastAsiaTheme="minorEastAsia" w:hAnsi="Cambria Math"/>
                    <w:i/>
                    <w:sz w:val="28"/>
                  </w:rPr>
                </m:ctrlPr>
              </m:sSupPr>
              <m:e>
                <m:r>
                  <w:rPr>
                    <w:rFonts w:ascii="Cambria Math" w:eastAsiaTheme="minorEastAsia" w:hAnsi="Cambria Math"/>
                    <w:sz w:val="28"/>
                  </w:rPr>
                  <m:t>S</m:t>
                </m:r>
              </m:e>
              <m:sup>
                <m:r>
                  <w:rPr>
                    <w:rFonts w:ascii="Cambria Math" w:eastAsiaTheme="minorEastAsia" w:hAnsi="Cambria Math"/>
                    <w:sz w:val="28"/>
                  </w:rPr>
                  <m:t>0.3</m:t>
                </m:r>
              </m:sup>
            </m:sSup>
          </m:den>
        </m:f>
      </m:oMath>
      <w:r w:rsidR="004B25FB">
        <w:rPr>
          <w:rFonts w:eastAsiaTheme="minorEastAsia"/>
          <w:sz w:val="28"/>
        </w:rPr>
        <w:t xml:space="preserve"> </w:t>
      </w:r>
      <w:r w:rsidR="009425BD">
        <w:rPr>
          <w:rFonts w:eastAsiaTheme="minorEastAsia"/>
        </w:rPr>
        <w:t>(QUDM, 2013)</w:t>
      </w:r>
    </w:p>
    <w:p w:rsidR="00260A86" w:rsidRDefault="00260A86" w:rsidP="00260A86">
      <w:pPr>
        <w:ind w:left="360"/>
        <w:rPr>
          <w:rFonts w:eastAsiaTheme="minorEastAsia"/>
        </w:rPr>
      </w:pPr>
      <w:proofErr w:type="gramStart"/>
      <w:r>
        <w:rPr>
          <w:rFonts w:eastAsiaTheme="minorEastAsia"/>
        </w:rPr>
        <w:t>where</w:t>
      </w:r>
      <w:proofErr w:type="gramEnd"/>
      <w:r>
        <w:rPr>
          <w:rFonts w:eastAsiaTheme="minorEastAsia"/>
        </w:rPr>
        <w:t xml:space="preserve"> all parameters are previously described, and</w:t>
      </w:r>
    </w:p>
    <w:p w:rsidR="004B25FB" w:rsidRDefault="00260A86" w:rsidP="00260A86">
      <w:pPr>
        <w:ind w:left="360"/>
        <w:rPr>
          <w:rFonts w:eastAsiaTheme="minorEastAsia"/>
        </w:rPr>
      </w:pPr>
      <w:r>
        <w:rPr>
          <w:rFonts w:eastAsiaTheme="minorEastAsia"/>
        </w:rPr>
        <w:t xml:space="preserve"> S = slope of channel (m/m).</w:t>
      </w:r>
    </w:p>
    <w:p w:rsidR="00721A60" w:rsidRDefault="00343675" w:rsidP="004B25FB">
      <w:pPr>
        <w:rPr>
          <w:rFonts w:eastAsiaTheme="minorEastAsia"/>
        </w:rPr>
      </w:pPr>
      <w:r w:rsidRPr="004B25FB">
        <w:rPr>
          <w:rFonts w:eastAsiaTheme="minorEastAsia"/>
        </w:rPr>
        <w:t xml:space="preserve">These methods can provide </w:t>
      </w:r>
      <w:r w:rsidR="006B6400" w:rsidRPr="004B25FB">
        <w:rPr>
          <w:rFonts w:eastAsiaTheme="minorEastAsia"/>
        </w:rPr>
        <w:t xml:space="preserve">different values </w:t>
      </w:r>
      <w:proofErr w:type="gramStart"/>
      <w:r w:rsidR="006B6400" w:rsidRPr="004B25FB">
        <w:rPr>
          <w:rFonts w:eastAsiaTheme="minorEastAsia"/>
        </w:rPr>
        <w:t xml:space="preserve">of </w:t>
      </w:r>
      <w:proofErr w:type="gramEnd"/>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c</m:t>
            </m:r>
          </m:sub>
        </m:sSub>
      </m:oMath>
      <w:r w:rsidR="00A9345D">
        <w:rPr>
          <w:rFonts w:eastAsiaTheme="minorEastAsia"/>
        </w:rPr>
        <w:t>,</w:t>
      </w:r>
      <w:r w:rsidR="006B6400" w:rsidRPr="004B25FB">
        <w:rPr>
          <w:rFonts w:eastAsiaTheme="minorEastAsia"/>
        </w:rPr>
        <w:t xml:space="preserve"> which is used to determine the storm duration leading to peak discharge. </w:t>
      </w:r>
      <w:r w:rsidR="007E7D76">
        <w:rPr>
          <w:rFonts w:eastAsiaTheme="minorEastAsia"/>
        </w:rPr>
        <w:t xml:space="preserve">The </w:t>
      </w:r>
      <w:r w:rsidR="001613E7">
        <w:rPr>
          <w:rFonts w:eastAsiaTheme="minorEastAsia"/>
        </w:rPr>
        <w:t>equations provide</w:t>
      </w:r>
      <w:r w:rsidR="007E7D76">
        <w:rPr>
          <w:rFonts w:eastAsiaTheme="minorEastAsia"/>
        </w:rPr>
        <w:t xml:space="preserve"> the most accurate results when used for a homogenous catchment with a uniform surface, such as a carpark</w:t>
      </w:r>
      <w:r w:rsidR="007C717B">
        <w:rPr>
          <w:rFonts w:eastAsiaTheme="minorEastAsia"/>
        </w:rPr>
        <w:t xml:space="preserve"> </w:t>
      </w:r>
      <w:r w:rsidR="007C717B" w:rsidRPr="009425BD">
        <w:rPr>
          <w:rFonts w:eastAsiaTheme="minorEastAsia"/>
        </w:rPr>
        <w:t>(QUDM</w:t>
      </w:r>
      <w:r w:rsidR="009425BD" w:rsidRPr="009425BD">
        <w:rPr>
          <w:rFonts w:eastAsiaTheme="minorEastAsia"/>
        </w:rPr>
        <w:t>,</w:t>
      </w:r>
      <w:r w:rsidR="009425BD">
        <w:rPr>
          <w:rFonts w:eastAsiaTheme="minorEastAsia"/>
        </w:rPr>
        <w:t xml:space="preserve"> 2013</w:t>
      </w:r>
      <w:r w:rsidR="007C717B">
        <w:rPr>
          <w:rFonts w:eastAsiaTheme="minorEastAsia"/>
        </w:rPr>
        <w:t>)</w:t>
      </w:r>
      <w:r w:rsidR="007E7D76">
        <w:rPr>
          <w:rFonts w:eastAsiaTheme="minorEastAsia"/>
        </w:rPr>
        <w:t xml:space="preserve">. </w:t>
      </w:r>
      <w:r w:rsidR="007C717B">
        <w:rPr>
          <w:rFonts w:eastAsiaTheme="minorEastAsia"/>
        </w:rPr>
        <w:t>It</w:t>
      </w:r>
      <w:r w:rsidR="006B6400" w:rsidRPr="004B25FB">
        <w:rPr>
          <w:rFonts w:eastAsiaTheme="minorEastAsia"/>
        </w:rPr>
        <w:t xml:space="preserve"> should be determined if a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c</m:t>
            </m:r>
          </m:sub>
        </m:sSub>
      </m:oMath>
      <w:r w:rsidR="00A9345D" w:rsidRPr="004B25FB">
        <w:rPr>
          <w:rFonts w:eastAsiaTheme="minorEastAsia"/>
        </w:rPr>
        <w:t xml:space="preserve"> </w:t>
      </w:r>
      <w:r w:rsidR="006B6400" w:rsidRPr="004B25FB">
        <w:rPr>
          <w:rFonts w:eastAsiaTheme="minorEastAsia"/>
        </w:rPr>
        <w:t xml:space="preserve">above 5 minutes provides a higher peak discharge compared to storm durations shorter than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c</m:t>
            </m:r>
          </m:sub>
        </m:sSub>
      </m:oMath>
      <w:r w:rsidR="006B6400" w:rsidRPr="004B25FB">
        <w:rPr>
          <w:rFonts w:eastAsiaTheme="minorEastAsia"/>
        </w:rPr>
        <w:t xml:space="preserve">; the difference being that not all of the catchment area will contribute </w:t>
      </w:r>
      <w:r w:rsidR="00566311">
        <w:rPr>
          <w:rFonts w:eastAsiaTheme="minorEastAsia"/>
        </w:rPr>
        <w:t xml:space="preserve">to the </w:t>
      </w:r>
      <w:r w:rsidR="006B6400" w:rsidRPr="004B25FB">
        <w:rPr>
          <w:rFonts w:eastAsiaTheme="minorEastAsia"/>
        </w:rPr>
        <w:t>discharge</w:t>
      </w:r>
      <w:r w:rsidR="00566311">
        <w:rPr>
          <w:rFonts w:eastAsiaTheme="minorEastAsia"/>
        </w:rPr>
        <w:t xml:space="preserve"> flow rate</w:t>
      </w:r>
      <w:r w:rsidR="006B6400" w:rsidRPr="004B25FB">
        <w:rPr>
          <w:rFonts w:eastAsiaTheme="minorEastAsia"/>
        </w:rPr>
        <w:t xml:space="preserve"> if the storm duration is less than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c</m:t>
            </m:r>
          </m:sub>
        </m:sSub>
      </m:oMath>
      <w:r w:rsidR="006B6400" w:rsidRPr="004B25FB">
        <w:rPr>
          <w:rFonts w:eastAsiaTheme="minorEastAsia"/>
        </w:rPr>
        <w:t xml:space="preserve">. </w:t>
      </w:r>
    </w:p>
    <w:p w:rsidR="00343675" w:rsidRPr="004B25FB" w:rsidRDefault="00721A60" w:rsidP="004B25FB">
      <w:pPr>
        <w:rPr>
          <w:rFonts w:eastAsiaTheme="minorEastAsia"/>
        </w:rPr>
      </w:pPr>
      <w:r>
        <w:rPr>
          <w:rFonts w:eastAsiaTheme="minorEastAsia"/>
        </w:rPr>
        <w:t>I</w:t>
      </w:r>
      <w:r w:rsidR="00566311">
        <w:rPr>
          <w:rFonts w:eastAsiaTheme="minorEastAsia"/>
        </w:rPr>
        <w:t xml:space="preserve">f a detention basin is used in the </w:t>
      </w:r>
      <w:proofErr w:type="spellStart"/>
      <w:r w:rsidR="00566311">
        <w:rPr>
          <w:rFonts w:eastAsiaTheme="minorEastAsia"/>
        </w:rPr>
        <w:t>stormwater</w:t>
      </w:r>
      <w:proofErr w:type="spellEnd"/>
      <w:r w:rsidR="00566311">
        <w:rPr>
          <w:rFonts w:eastAsiaTheme="minorEastAsia"/>
        </w:rPr>
        <w:t xml:space="preserve"> design, an entire s</w:t>
      </w:r>
      <w:r w:rsidR="00623335">
        <w:rPr>
          <w:rFonts w:eastAsiaTheme="minorEastAsia"/>
        </w:rPr>
        <w:t>et</w:t>
      </w:r>
      <w:r w:rsidR="00566311">
        <w:rPr>
          <w:rFonts w:eastAsiaTheme="minorEastAsia"/>
        </w:rPr>
        <w:t xml:space="preserve"> of design storms should be used with varying durations and annual exceedan</w:t>
      </w:r>
      <w:r>
        <w:rPr>
          <w:rFonts w:eastAsiaTheme="minorEastAsia"/>
        </w:rPr>
        <w:t xml:space="preserve">ce probabilities, increasing the time and effort required to perform the design tenfold. </w:t>
      </w:r>
    </w:p>
    <w:p w:rsidR="00796BE5" w:rsidRDefault="00796BE5" w:rsidP="00304A6A">
      <w:pPr>
        <w:pStyle w:val="Heading3"/>
        <w:numPr>
          <w:ilvl w:val="2"/>
          <w:numId w:val="14"/>
        </w:numPr>
        <w:rPr>
          <w:rFonts w:eastAsiaTheme="minorEastAsia"/>
        </w:rPr>
      </w:pPr>
      <w:r w:rsidRPr="00796BE5">
        <w:rPr>
          <w:rFonts w:eastAsiaTheme="minorEastAsia"/>
        </w:rPr>
        <w:t>Manning</w:t>
      </w:r>
      <w:r w:rsidR="003A4211">
        <w:rPr>
          <w:rFonts w:eastAsiaTheme="minorEastAsia"/>
        </w:rPr>
        <w:t>’</w:t>
      </w:r>
      <w:r w:rsidRPr="00796BE5">
        <w:rPr>
          <w:rFonts w:eastAsiaTheme="minorEastAsia"/>
        </w:rPr>
        <w:t>s equation</w:t>
      </w:r>
    </w:p>
    <w:p w:rsidR="00260A86" w:rsidRDefault="00260A86" w:rsidP="00F67E14">
      <w:pPr>
        <w:rPr>
          <w:rFonts w:eastAsiaTheme="minorEastAsia"/>
        </w:rPr>
      </w:pPr>
      <w:r>
        <w:rPr>
          <w:rFonts w:eastAsiaTheme="minorEastAsia"/>
        </w:rPr>
        <w:t>The Rational Method can be used in conjunction with Manning’s equation</w:t>
      </w:r>
      <w:r w:rsidR="00EA21E0">
        <w:rPr>
          <w:rFonts w:eastAsiaTheme="minorEastAsia"/>
        </w:rPr>
        <w:t xml:space="preserve">. Manning’s equation is used for overland channels such as swales or road profiles, as well as </w:t>
      </w:r>
      <w:proofErr w:type="spellStart"/>
      <w:r w:rsidR="00EA21E0">
        <w:rPr>
          <w:rFonts w:eastAsiaTheme="minorEastAsia"/>
        </w:rPr>
        <w:t>stormwater</w:t>
      </w:r>
      <w:proofErr w:type="spellEnd"/>
      <w:r w:rsidR="00EA21E0">
        <w:rPr>
          <w:rFonts w:eastAsiaTheme="minorEastAsia"/>
        </w:rPr>
        <w:t xml:space="preserve"> piping below ground, and therefore can be used for minor storm design. </w:t>
      </w:r>
      <w:r>
        <w:rPr>
          <w:rFonts w:eastAsiaTheme="minorEastAsia"/>
        </w:rPr>
        <w:t>Manning’s equation is presented as:</w:t>
      </w:r>
    </w:p>
    <w:p w:rsidR="00260A86" w:rsidRPr="00260A86" w:rsidRDefault="00260A86" w:rsidP="00304A6A">
      <w:pPr>
        <w:jc w:val="center"/>
        <w:rPr>
          <w:rFonts w:eastAsiaTheme="minorEastAsia"/>
        </w:rPr>
      </w:pPr>
      <m:oMath>
        <m:r>
          <w:rPr>
            <w:rFonts w:ascii="Cambria Math" w:eastAsiaTheme="minorEastAsia" w:hAnsi="Cambria Math"/>
          </w:rPr>
          <m:t>Q=</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n</m:t>
            </m:r>
          </m:den>
        </m:f>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R</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sSup>
          <m:sSupPr>
            <m:ctrlPr>
              <w:rPr>
                <w:rFonts w:ascii="Cambria Math" w:eastAsiaTheme="minorEastAsia" w:hAnsi="Cambria Math"/>
                <w:i/>
              </w:rPr>
            </m:ctrlPr>
          </m:sSupPr>
          <m:e>
            <m:r>
              <w:rPr>
                <w:rFonts w:ascii="Cambria Math" w:eastAsiaTheme="minorEastAsia" w:hAnsi="Cambria Math"/>
              </w:rPr>
              <m:t>S</m:t>
            </m:r>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oMath>
      <w:r w:rsidR="00304A6A">
        <w:rPr>
          <w:rFonts w:eastAsiaTheme="minorEastAsia"/>
        </w:rPr>
        <w:t xml:space="preserve"> </w:t>
      </w:r>
      <w:r w:rsidR="00304A6A">
        <w:rPr>
          <w:rFonts w:eastAsiaTheme="minorEastAsia"/>
        </w:rPr>
        <w:tab/>
      </w:r>
      <w:r w:rsidR="009425BD">
        <w:rPr>
          <w:rFonts w:eastAsiaTheme="minorEastAsia"/>
        </w:rPr>
        <w:t>(QUDM, 2013)</w:t>
      </w:r>
    </w:p>
    <w:p w:rsidR="007C717B" w:rsidRDefault="007C717B" w:rsidP="00F67E14">
      <w:pPr>
        <w:rPr>
          <w:rFonts w:eastAsiaTheme="minorEastAsia"/>
        </w:rPr>
      </w:pPr>
      <w:proofErr w:type="gramStart"/>
      <w:r>
        <w:rPr>
          <w:rFonts w:eastAsiaTheme="minorEastAsia"/>
        </w:rPr>
        <w:lastRenderedPageBreak/>
        <w:t>where</w:t>
      </w:r>
      <w:proofErr w:type="gramEnd"/>
      <w:r>
        <w:rPr>
          <w:rFonts w:eastAsiaTheme="minorEastAsia"/>
        </w:rPr>
        <w:t xml:space="preserve"> n = Manning’s roughness coefficient</w:t>
      </w:r>
    </w:p>
    <w:p w:rsidR="007C717B" w:rsidRDefault="007C717B" w:rsidP="00F67E14">
      <w:pPr>
        <w:rPr>
          <w:rFonts w:eastAsiaTheme="minorEastAsia"/>
        </w:rPr>
      </w:pPr>
      <w:r>
        <w:rPr>
          <w:rFonts w:eastAsiaTheme="minorEastAsia"/>
        </w:rPr>
        <w:t>A = cross-sectional area of channel (m</w:t>
      </w:r>
      <w:r w:rsidRPr="007C717B">
        <w:rPr>
          <w:rFonts w:eastAsiaTheme="minorEastAsia"/>
          <w:vertAlign w:val="superscript"/>
        </w:rPr>
        <w:t>2</w:t>
      </w:r>
      <w:r>
        <w:rPr>
          <w:rFonts w:eastAsiaTheme="minorEastAsia"/>
        </w:rPr>
        <w:t>)</w:t>
      </w:r>
    </w:p>
    <w:p w:rsidR="007C717B" w:rsidRDefault="007C717B" w:rsidP="00F67E14">
      <w:pPr>
        <w:rPr>
          <w:rFonts w:eastAsiaTheme="minorEastAsia"/>
        </w:rPr>
      </w:pPr>
      <w:r>
        <w:rPr>
          <w:rFonts w:eastAsiaTheme="minorEastAsia"/>
        </w:rPr>
        <w:t>R = hydraulic radius of channel (m)</w:t>
      </w:r>
    </w:p>
    <w:p w:rsidR="007C717B" w:rsidRDefault="007C717B" w:rsidP="00F67E14">
      <w:pPr>
        <w:rPr>
          <w:rFonts w:eastAsiaTheme="minorEastAsia"/>
        </w:rPr>
      </w:pPr>
      <w:r>
        <w:rPr>
          <w:rFonts w:eastAsiaTheme="minorEastAsia"/>
        </w:rPr>
        <w:t>S = slope of channel (m/m)</w:t>
      </w:r>
    </w:p>
    <w:p w:rsidR="00796BE5" w:rsidRPr="00796BE5" w:rsidRDefault="00626BE2" w:rsidP="00F67E14">
      <w:pPr>
        <w:rPr>
          <w:rFonts w:eastAsiaTheme="minorEastAsia"/>
        </w:rPr>
      </w:pPr>
      <w:r>
        <w:rPr>
          <w:rFonts w:eastAsiaTheme="minorEastAsia"/>
        </w:rPr>
        <w:t xml:space="preserve">The use of Manning’s equation can lead to contention regarding the selected Manning’s n value, especially when used for large overland channels with varying surface conditions throughout the channel. </w:t>
      </w:r>
      <w:r w:rsidR="00833843">
        <w:rPr>
          <w:rFonts w:eastAsiaTheme="minorEastAsia"/>
        </w:rPr>
        <w:t>However, the Manning’s roughness value is also used in many modelling suites.</w:t>
      </w:r>
    </w:p>
    <w:p w:rsidR="00557103" w:rsidRPr="00527B62" w:rsidRDefault="00527B62" w:rsidP="00304A6A">
      <w:pPr>
        <w:pStyle w:val="Heading2"/>
        <w:numPr>
          <w:ilvl w:val="1"/>
          <w:numId w:val="10"/>
        </w:numPr>
      </w:pPr>
      <w:r w:rsidRPr="00527B62">
        <w:t xml:space="preserve">Modern methods of </w:t>
      </w:r>
      <w:proofErr w:type="spellStart"/>
      <w:r w:rsidRPr="00527B62">
        <w:t>stormwater</w:t>
      </w:r>
      <w:proofErr w:type="spellEnd"/>
      <w:r w:rsidRPr="00527B62">
        <w:t xml:space="preserve"> design</w:t>
      </w:r>
      <w:bookmarkStart w:id="0" w:name="_GoBack"/>
      <w:bookmarkEnd w:id="0"/>
    </w:p>
    <w:p w:rsidR="00557103" w:rsidRDefault="00557103" w:rsidP="00F67E14">
      <w:r w:rsidRPr="009C3659">
        <w:t xml:space="preserve">Often, 1D or 2D models are used to perform </w:t>
      </w:r>
      <w:proofErr w:type="spellStart"/>
      <w:r w:rsidRPr="009C3659">
        <w:t>stormwater</w:t>
      </w:r>
      <w:proofErr w:type="spellEnd"/>
      <w:r w:rsidRPr="009C3659">
        <w:t xml:space="preserve"> designs, with 3D modeling less commonly employed. 1D modeling performs calculations assuming an averaged flow along a cross-section. 2D modeling programs use 2D grids with depth-averaged velocity to find flow depths at each grid. </w:t>
      </w:r>
      <w:r w:rsidR="00B70DD5" w:rsidRPr="009C3659">
        <w:t>2D models benefit m</w:t>
      </w:r>
      <w:r w:rsidR="006B6400" w:rsidRPr="009C3659">
        <w:t>assiv</w:t>
      </w:r>
      <w:r w:rsidR="00B70DD5" w:rsidRPr="009C3659">
        <w:t>ely</w:t>
      </w:r>
      <w:r w:rsidR="006B6400" w:rsidRPr="009C3659">
        <w:t xml:space="preserve"> from using desktop GIS and contour maps which show all slope details</w:t>
      </w:r>
      <w:r w:rsidR="00B70DD5" w:rsidRPr="009C3659">
        <w:t>, removing the need to calculate</w:t>
      </w:r>
      <w:r w:rsidR="006B6400" w:rsidRPr="009C3659">
        <w:t xml:space="preserve"> average</w:t>
      </w:r>
      <w:r w:rsidR="00B70DD5" w:rsidRPr="009C3659">
        <w:t xml:space="preserve"> catchment slopes</w:t>
      </w:r>
      <w:r w:rsidR="006B6400" w:rsidRPr="009C3659">
        <w:t xml:space="preserve">. </w:t>
      </w:r>
      <w:r w:rsidR="009C3659">
        <w:t xml:space="preserve">The following table </w:t>
      </w:r>
      <w:proofErr w:type="spellStart"/>
      <w:r w:rsidR="009C3659">
        <w:t>summarises</w:t>
      </w:r>
      <w:proofErr w:type="spellEnd"/>
      <w:r w:rsidR="009C3659">
        <w:t xml:space="preserve"> the benefits and drawbacks of flood modelling.</w:t>
      </w:r>
    </w:p>
    <w:tbl>
      <w:tblPr>
        <w:tblStyle w:val="TableGrid"/>
        <w:tblW w:w="0" w:type="auto"/>
        <w:tblLook w:val="04A0" w:firstRow="1" w:lastRow="0" w:firstColumn="1" w:lastColumn="0" w:noHBand="0" w:noVBand="1"/>
      </w:tblPr>
      <w:tblGrid>
        <w:gridCol w:w="1951"/>
        <w:gridCol w:w="4394"/>
        <w:gridCol w:w="3231"/>
      </w:tblGrid>
      <w:tr w:rsidR="009C3659" w:rsidTr="009F604E">
        <w:tc>
          <w:tcPr>
            <w:tcW w:w="1951" w:type="dxa"/>
          </w:tcPr>
          <w:p w:rsidR="009C3659" w:rsidRPr="009F604E" w:rsidRDefault="009C3659" w:rsidP="002D792F">
            <w:pPr>
              <w:jc w:val="center"/>
              <w:rPr>
                <w:b/>
              </w:rPr>
            </w:pPr>
            <w:r w:rsidRPr="009F604E">
              <w:rPr>
                <w:b/>
              </w:rPr>
              <w:t>Model type</w:t>
            </w:r>
          </w:p>
        </w:tc>
        <w:tc>
          <w:tcPr>
            <w:tcW w:w="4394" w:type="dxa"/>
            <w:tcBorders>
              <w:bottom w:val="single" w:sz="4" w:space="0" w:color="auto"/>
            </w:tcBorders>
          </w:tcPr>
          <w:p w:rsidR="009C3659" w:rsidRPr="009F604E" w:rsidRDefault="009C3659" w:rsidP="002D792F">
            <w:pPr>
              <w:jc w:val="center"/>
              <w:rPr>
                <w:b/>
              </w:rPr>
            </w:pPr>
            <w:r w:rsidRPr="009F604E">
              <w:rPr>
                <w:b/>
              </w:rPr>
              <w:t>Advantages</w:t>
            </w:r>
          </w:p>
        </w:tc>
        <w:tc>
          <w:tcPr>
            <w:tcW w:w="3231" w:type="dxa"/>
          </w:tcPr>
          <w:p w:rsidR="009C3659" w:rsidRPr="009F604E" w:rsidRDefault="009C3659" w:rsidP="002D792F">
            <w:pPr>
              <w:jc w:val="center"/>
              <w:rPr>
                <w:b/>
              </w:rPr>
            </w:pPr>
            <w:r w:rsidRPr="009F604E">
              <w:rPr>
                <w:b/>
              </w:rPr>
              <w:t>Disadvantages</w:t>
            </w:r>
          </w:p>
        </w:tc>
      </w:tr>
      <w:tr w:rsidR="009C3659" w:rsidTr="009F604E">
        <w:tc>
          <w:tcPr>
            <w:tcW w:w="1951" w:type="dxa"/>
          </w:tcPr>
          <w:p w:rsidR="009C3659" w:rsidRPr="009F604E" w:rsidRDefault="009C3659" w:rsidP="002D792F">
            <w:pPr>
              <w:jc w:val="center"/>
              <w:rPr>
                <w:b/>
                <w:sz w:val="20"/>
              </w:rPr>
            </w:pPr>
            <w:r w:rsidRPr="009F604E">
              <w:rPr>
                <w:b/>
                <w:sz w:val="20"/>
              </w:rPr>
              <w:t>1D</w:t>
            </w:r>
          </w:p>
        </w:tc>
        <w:tc>
          <w:tcPr>
            <w:tcW w:w="4394" w:type="dxa"/>
          </w:tcPr>
          <w:p w:rsidR="009C3659" w:rsidRPr="003C4E7D" w:rsidRDefault="009C3659" w:rsidP="003C4E7D">
            <w:pPr>
              <w:pStyle w:val="ListParagraph"/>
              <w:numPr>
                <w:ilvl w:val="0"/>
                <w:numId w:val="19"/>
              </w:numPr>
              <w:jc w:val="left"/>
              <w:rPr>
                <w:sz w:val="20"/>
              </w:rPr>
            </w:pPr>
            <w:r w:rsidRPr="003C4E7D">
              <w:rPr>
                <w:sz w:val="20"/>
              </w:rPr>
              <w:t>Low computation time</w:t>
            </w:r>
          </w:p>
          <w:p w:rsidR="009C3659" w:rsidRPr="003C4E7D" w:rsidRDefault="009C3659" w:rsidP="003C4E7D">
            <w:pPr>
              <w:pStyle w:val="ListParagraph"/>
              <w:numPr>
                <w:ilvl w:val="0"/>
                <w:numId w:val="19"/>
              </w:numPr>
              <w:jc w:val="left"/>
              <w:rPr>
                <w:sz w:val="20"/>
              </w:rPr>
            </w:pPr>
            <w:r w:rsidRPr="003C4E7D">
              <w:rPr>
                <w:sz w:val="20"/>
              </w:rPr>
              <w:t>Few inputs and no GIS required</w:t>
            </w:r>
          </w:p>
        </w:tc>
        <w:tc>
          <w:tcPr>
            <w:tcW w:w="3231" w:type="dxa"/>
          </w:tcPr>
          <w:p w:rsidR="009C3659" w:rsidRPr="003C4E7D" w:rsidRDefault="009C3659" w:rsidP="003C4E7D">
            <w:pPr>
              <w:pStyle w:val="ListParagraph"/>
              <w:numPr>
                <w:ilvl w:val="0"/>
                <w:numId w:val="23"/>
              </w:numPr>
              <w:rPr>
                <w:sz w:val="20"/>
              </w:rPr>
            </w:pPr>
            <w:r w:rsidRPr="003C4E7D">
              <w:rPr>
                <w:sz w:val="20"/>
              </w:rPr>
              <w:t xml:space="preserve">No </w:t>
            </w:r>
            <w:proofErr w:type="spellStart"/>
            <w:r w:rsidRPr="003C4E7D">
              <w:rPr>
                <w:sz w:val="20"/>
              </w:rPr>
              <w:t>visualisation</w:t>
            </w:r>
            <w:proofErr w:type="spellEnd"/>
            <w:r w:rsidRPr="003C4E7D">
              <w:rPr>
                <w:sz w:val="20"/>
              </w:rPr>
              <w:t xml:space="preserve"> of flows</w:t>
            </w:r>
          </w:p>
          <w:p w:rsidR="003C4E7D" w:rsidRPr="003C4E7D" w:rsidRDefault="003C4E7D" w:rsidP="003C4E7D">
            <w:pPr>
              <w:pStyle w:val="ListParagraph"/>
              <w:numPr>
                <w:ilvl w:val="0"/>
                <w:numId w:val="23"/>
              </w:numPr>
              <w:rPr>
                <w:sz w:val="20"/>
              </w:rPr>
            </w:pPr>
            <w:r w:rsidRPr="003C4E7D">
              <w:rPr>
                <w:sz w:val="20"/>
              </w:rPr>
              <w:t>Limited results available</w:t>
            </w:r>
          </w:p>
        </w:tc>
      </w:tr>
      <w:tr w:rsidR="009C3659" w:rsidTr="009F604E">
        <w:tc>
          <w:tcPr>
            <w:tcW w:w="1951" w:type="dxa"/>
          </w:tcPr>
          <w:p w:rsidR="009C3659" w:rsidRPr="009F604E" w:rsidRDefault="009C3659" w:rsidP="002D792F">
            <w:pPr>
              <w:jc w:val="center"/>
              <w:rPr>
                <w:b/>
                <w:sz w:val="20"/>
              </w:rPr>
            </w:pPr>
            <w:r w:rsidRPr="009F604E">
              <w:rPr>
                <w:b/>
                <w:sz w:val="20"/>
              </w:rPr>
              <w:t>Combined 1D/2D</w:t>
            </w:r>
          </w:p>
        </w:tc>
        <w:tc>
          <w:tcPr>
            <w:tcW w:w="4394" w:type="dxa"/>
          </w:tcPr>
          <w:p w:rsidR="009C3659" w:rsidRPr="003C4E7D" w:rsidRDefault="009C3659" w:rsidP="003C4E7D">
            <w:pPr>
              <w:pStyle w:val="ListParagraph"/>
              <w:numPr>
                <w:ilvl w:val="0"/>
                <w:numId w:val="20"/>
              </w:numPr>
              <w:jc w:val="left"/>
              <w:rPr>
                <w:sz w:val="20"/>
              </w:rPr>
            </w:pPr>
            <w:r w:rsidRPr="003C4E7D">
              <w:rPr>
                <w:sz w:val="20"/>
              </w:rPr>
              <w:t>Benefits of both 1D and 2D with less computation time compared to pure 2D</w:t>
            </w:r>
          </w:p>
          <w:p w:rsidR="009C3659" w:rsidRPr="003C4E7D" w:rsidRDefault="009C3659" w:rsidP="003C4E7D">
            <w:pPr>
              <w:pStyle w:val="ListParagraph"/>
              <w:numPr>
                <w:ilvl w:val="0"/>
                <w:numId w:val="20"/>
              </w:numPr>
              <w:jc w:val="left"/>
              <w:rPr>
                <w:sz w:val="20"/>
              </w:rPr>
            </w:pPr>
            <w:r w:rsidRPr="003C4E7D">
              <w:rPr>
                <w:sz w:val="20"/>
              </w:rPr>
              <w:t>1D elements can compensate for grid size issues</w:t>
            </w:r>
            <w:r w:rsidR="0017261F" w:rsidRPr="003C4E7D">
              <w:rPr>
                <w:sz w:val="20"/>
              </w:rPr>
              <w:t>, e.g. a 1D element may be used to simulate a gully or culvert that the grid is too coarse to accurately represent</w:t>
            </w:r>
          </w:p>
          <w:p w:rsidR="0017261F" w:rsidRPr="003C4E7D" w:rsidRDefault="009C3659" w:rsidP="003C4E7D">
            <w:pPr>
              <w:pStyle w:val="ListParagraph"/>
              <w:numPr>
                <w:ilvl w:val="0"/>
                <w:numId w:val="20"/>
              </w:numPr>
              <w:jc w:val="left"/>
              <w:rPr>
                <w:sz w:val="20"/>
              </w:rPr>
            </w:pPr>
            <w:r w:rsidRPr="003C4E7D">
              <w:rPr>
                <w:sz w:val="20"/>
              </w:rPr>
              <w:t>1D elements allow for pseudo-3D modelling</w:t>
            </w:r>
            <w:r w:rsidR="0017261F" w:rsidRPr="003C4E7D">
              <w:rPr>
                <w:sz w:val="20"/>
              </w:rPr>
              <w:t>, e.g. a 1D culvert can be passed under a 2D roadway, with the 1D model simulating losses through the culvert, allowing hydraulic holdup or backwaters to be examined</w:t>
            </w:r>
          </w:p>
          <w:p w:rsidR="003C4E7D" w:rsidRPr="003C4E7D" w:rsidRDefault="003C4E7D" w:rsidP="003C4E7D">
            <w:pPr>
              <w:pStyle w:val="ListParagraph"/>
              <w:numPr>
                <w:ilvl w:val="0"/>
                <w:numId w:val="20"/>
              </w:numPr>
              <w:jc w:val="left"/>
              <w:rPr>
                <w:sz w:val="20"/>
              </w:rPr>
            </w:pPr>
            <w:r w:rsidRPr="003C4E7D">
              <w:rPr>
                <w:sz w:val="20"/>
              </w:rPr>
              <w:t xml:space="preserve">Commonly used </w:t>
            </w:r>
          </w:p>
        </w:tc>
        <w:tc>
          <w:tcPr>
            <w:tcW w:w="3231" w:type="dxa"/>
          </w:tcPr>
          <w:p w:rsidR="009C3659" w:rsidRPr="003C4E7D" w:rsidRDefault="003C4E7D" w:rsidP="003C4E7D">
            <w:pPr>
              <w:pStyle w:val="ListParagraph"/>
              <w:numPr>
                <w:ilvl w:val="0"/>
                <w:numId w:val="23"/>
              </w:numPr>
              <w:rPr>
                <w:sz w:val="20"/>
              </w:rPr>
            </w:pPr>
            <w:r w:rsidRPr="003C4E7D">
              <w:rPr>
                <w:sz w:val="20"/>
              </w:rPr>
              <w:t xml:space="preserve">Basic </w:t>
            </w:r>
            <w:proofErr w:type="spellStart"/>
            <w:r w:rsidRPr="003C4E7D">
              <w:rPr>
                <w:sz w:val="20"/>
              </w:rPr>
              <w:t>visualisation</w:t>
            </w:r>
            <w:proofErr w:type="spellEnd"/>
            <w:r w:rsidRPr="003C4E7D">
              <w:rPr>
                <w:sz w:val="20"/>
              </w:rPr>
              <w:t xml:space="preserve"> only</w:t>
            </w:r>
          </w:p>
        </w:tc>
      </w:tr>
      <w:tr w:rsidR="009C3659" w:rsidTr="009F604E">
        <w:tc>
          <w:tcPr>
            <w:tcW w:w="1951" w:type="dxa"/>
          </w:tcPr>
          <w:p w:rsidR="009C3659" w:rsidRPr="009F604E" w:rsidRDefault="009C3659" w:rsidP="002D792F">
            <w:pPr>
              <w:jc w:val="center"/>
              <w:rPr>
                <w:b/>
                <w:sz w:val="20"/>
              </w:rPr>
            </w:pPr>
            <w:r w:rsidRPr="009F604E">
              <w:rPr>
                <w:b/>
                <w:sz w:val="20"/>
              </w:rPr>
              <w:t>2D</w:t>
            </w:r>
          </w:p>
        </w:tc>
        <w:tc>
          <w:tcPr>
            <w:tcW w:w="4394" w:type="dxa"/>
          </w:tcPr>
          <w:p w:rsidR="009C3659" w:rsidRPr="003C4E7D" w:rsidRDefault="002D792F" w:rsidP="003C4E7D">
            <w:pPr>
              <w:pStyle w:val="ListParagraph"/>
              <w:numPr>
                <w:ilvl w:val="0"/>
                <w:numId w:val="22"/>
              </w:numPr>
              <w:jc w:val="left"/>
              <w:rPr>
                <w:sz w:val="20"/>
              </w:rPr>
            </w:pPr>
            <w:r w:rsidRPr="003C4E7D">
              <w:rPr>
                <w:sz w:val="20"/>
              </w:rPr>
              <w:t>Evaluates depths at certain grid elements of catchment with moderate computation time</w:t>
            </w:r>
          </w:p>
        </w:tc>
        <w:tc>
          <w:tcPr>
            <w:tcW w:w="3231" w:type="dxa"/>
          </w:tcPr>
          <w:p w:rsidR="009C3659" w:rsidRPr="003C4E7D" w:rsidRDefault="003C4E7D" w:rsidP="009F604E">
            <w:pPr>
              <w:pStyle w:val="ListParagraph"/>
              <w:numPr>
                <w:ilvl w:val="0"/>
                <w:numId w:val="22"/>
              </w:numPr>
              <w:rPr>
                <w:sz w:val="20"/>
              </w:rPr>
            </w:pPr>
            <w:r w:rsidRPr="003C4E7D">
              <w:rPr>
                <w:sz w:val="20"/>
              </w:rPr>
              <w:t xml:space="preserve">Basic </w:t>
            </w:r>
            <w:proofErr w:type="spellStart"/>
            <w:r w:rsidRPr="003C4E7D">
              <w:rPr>
                <w:sz w:val="20"/>
              </w:rPr>
              <w:t>visualisation</w:t>
            </w:r>
            <w:proofErr w:type="spellEnd"/>
            <w:r w:rsidRPr="003C4E7D">
              <w:rPr>
                <w:sz w:val="20"/>
              </w:rPr>
              <w:t xml:space="preserve"> only</w:t>
            </w:r>
          </w:p>
        </w:tc>
      </w:tr>
      <w:tr w:rsidR="009C3659" w:rsidTr="009F604E">
        <w:tc>
          <w:tcPr>
            <w:tcW w:w="1951" w:type="dxa"/>
          </w:tcPr>
          <w:p w:rsidR="009C3659" w:rsidRPr="009F604E" w:rsidRDefault="009C3659" w:rsidP="002D792F">
            <w:pPr>
              <w:jc w:val="center"/>
              <w:rPr>
                <w:b/>
                <w:sz w:val="20"/>
              </w:rPr>
            </w:pPr>
            <w:r w:rsidRPr="009F604E">
              <w:rPr>
                <w:b/>
                <w:sz w:val="20"/>
              </w:rPr>
              <w:t>3D</w:t>
            </w:r>
          </w:p>
        </w:tc>
        <w:tc>
          <w:tcPr>
            <w:tcW w:w="4394" w:type="dxa"/>
          </w:tcPr>
          <w:p w:rsidR="002D792F" w:rsidRPr="003C4E7D" w:rsidRDefault="002D792F" w:rsidP="003C4E7D">
            <w:pPr>
              <w:pStyle w:val="ListParagraph"/>
              <w:numPr>
                <w:ilvl w:val="0"/>
                <w:numId w:val="21"/>
              </w:numPr>
              <w:jc w:val="left"/>
              <w:rPr>
                <w:sz w:val="20"/>
              </w:rPr>
            </w:pPr>
            <w:r w:rsidRPr="003C4E7D">
              <w:rPr>
                <w:sz w:val="20"/>
              </w:rPr>
              <w:t>Visually interesting representations of a 2D output</w:t>
            </w:r>
          </w:p>
          <w:p w:rsidR="002D792F" w:rsidRPr="003C4E7D" w:rsidRDefault="002D792F" w:rsidP="003C4E7D">
            <w:pPr>
              <w:pStyle w:val="ListParagraph"/>
              <w:numPr>
                <w:ilvl w:val="0"/>
                <w:numId w:val="21"/>
              </w:numPr>
              <w:jc w:val="left"/>
              <w:rPr>
                <w:sz w:val="20"/>
              </w:rPr>
            </w:pPr>
            <w:r w:rsidRPr="003C4E7D">
              <w:rPr>
                <w:sz w:val="20"/>
              </w:rPr>
              <w:t>Can handle depth-variable flow velocities and complicated structures</w:t>
            </w:r>
          </w:p>
        </w:tc>
        <w:tc>
          <w:tcPr>
            <w:tcW w:w="3231" w:type="dxa"/>
          </w:tcPr>
          <w:p w:rsidR="009C3659" w:rsidRPr="003C4E7D" w:rsidRDefault="002D792F" w:rsidP="003C4E7D">
            <w:pPr>
              <w:pStyle w:val="ListParagraph"/>
              <w:numPr>
                <w:ilvl w:val="0"/>
                <w:numId w:val="21"/>
              </w:numPr>
              <w:rPr>
                <w:sz w:val="20"/>
              </w:rPr>
            </w:pPr>
            <w:r w:rsidRPr="003C4E7D">
              <w:rPr>
                <w:sz w:val="20"/>
              </w:rPr>
              <w:t>Greatest computational time required and CFD options can be complicated to calibrate correctly</w:t>
            </w:r>
          </w:p>
          <w:p w:rsidR="002D792F" w:rsidRPr="003C4E7D" w:rsidRDefault="002D792F" w:rsidP="003C4E7D">
            <w:pPr>
              <w:pStyle w:val="ListParagraph"/>
              <w:numPr>
                <w:ilvl w:val="0"/>
                <w:numId w:val="21"/>
              </w:numPr>
              <w:rPr>
                <w:sz w:val="20"/>
              </w:rPr>
            </w:pPr>
            <w:r w:rsidRPr="003C4E7D">
              <w:rPr>
                <w:sz w:val="20"/>
              </w:rPr>
              <w:t xml:space="preserve">Not commonly employed at this point – </w:t>
            </w:r>
            <w:r w:rsidR="003C4E7D" w:rsidRPr="003C4E7D">
              <w:rPr>
                <w:sz w:val="20"/>
              </w:rPr>
              <w:t>little need</w:t>
            </w:r>
          </w:p>
        </w:tc>
      </w:tr>
    </w:tbl>
    <w:p w:rsidR="003C4E7D" w:rsidRPr="003C4E7D" w:rsidRDefault="003C4E7D" w:rsidP="003C4E7D"/>
    <w:p w:rsidR="00E406FB" w:rsidRDefault="00304217" w:rsidP="00304A6A">
      <w:pPr>
        <w:pStyle w:val="Heading1"/>
        <w:numPr>
          <w:ilvl w:val="0"/>
          <w:numId w:val="10"/>
        </w:numPr>
      </w:pPr>
      <w:r>
        <w:lastRenderedPageBreak/>
        <w:t>Results</w:t>
      </w:r>
    </w:p>
    <w:p w:rsidR="003E468F" w:rsidRDefault="00D771AF" w:rsidP="00D771AF">
      <w:pPr>
        <w:jc w:val="center"/>
      </w:pPr>
      <w:r w:rsidRPr="00D771AF">
        <w:rPr>
          <w:b/>
          <w:noProof/>
        </w:rPr>
        <w:t>Table 1:</w:t>
      </w:r>
      <w:r>
        <w:rPr>
          <w:noProof/>
        </w:rPr>
        <w:t xml:space="preserve"> </w:t>
      </w:r>
      <w:r w:rsidRPr="0032140A">
        <w:rPr>
          <w:b/>
          <w:noProof/>
        </w:rPr>
        <w:t>Overland flow through suburban properties</w:t>
      </w:r>
      <w:r w:rsidR="00E04A34">
        <w:rPr>
          <w:b/>
          <w:noProof/>
        </w:rPr>
        <w:t xml:space="preserve"> – pre-development</w:t>
      </w:r>
    </w:p>
    <w:tbl>
      <w:tblPr>
        <w:tblStyle w:val="TableGrid"/>
        <w:tblW w:w="0" w:type="auto"/>
        <w:tblLook w:val="04A0" w:firstRow="1" w:lastRow="0" w:firstColumn="1" w:lastColumn="0" w:noHBand="0" w:noVBand="1"/>
      </w:tblPr>
      <w:tblGrid>
        <w:gridCol w:w="1889"/>
        <w:gridCol w:w="1926"/>
        <w:gridCol w:w="2007"/>
        <w:gridCol w:w="2042"/>
        <w:gridCol w:w="1712"/>
      </w:tblGrid>
      <w:tr w:rsidR="00D771AF" w:rsidTr="00D771AF">
        <w:tc>
          <w:tcPr>
            <w:tcW w:w="1889" w:type="dxa"/>
          </w:tcPr>
          <w:p w:rsidR="00D771AF" w:rsidRPr="00D771AF" w:rsidRDefault="00D771AF" w:rsidP="00D771AF">
            <w:pPr>
              <w:jc w:val="center"/>
              <w:rPr>
                <w:b/>
                <w:sz w:val="20"/>
              </w:rPr>
            </w:pPr>
            <w:r w:rsidRPr="00D771AF">
              <w:rPr>
                <w:b/>
                <w:sz w:val="20"/>
              </w:rPr>
              <w:t>Annual Exceedance Probability (AEP)</w:t>
            </w:r>
          </w:p>
        </w:tc>
        <w:tc>
          <w:tcPr>
            <w:tcW w:w="1926" w:type="dxa"/>
          </w:tcPr>
          <w:p w:rsidR="00D771AF" w:rsidRPr="00D771AF" w:rsidRDefault="00D771AF" w:rsidP="00D771AF">
            <w:pPr>
              <w:jc w:val="center"/>
              <w:rPr>
                <w:b/>
                <w:sz w:val="20"/>
              </w:rPr>
            </w:pPr>
            <w:r w:rsidRPr="00D771AF">
              <w:rPr>
                <w:b/>
                <w:sz w:val="20"/>
              </w:rPr>
              <w:t>Design storm duration (mins)</w:t>
            </w:r>
          </w:p>
        </w:tc>
        <w:tc>
          <w:tcPr>
            <w:tcW w:w="2007" w:type="dxa"/>
          </w:tcPr>
          <w:p w:rsidR="00D771AF" w:rsidRPr="00D771AF" w:rsidRDefault="00D771AF" w:rsidP="00D771AF">
            <w:pPr>
              <w:jc w:val="center"/>
              <w:rPr>
                <w:b/>
                <w:sz w:val="20"/>
              </w:rPr>
            </w:pPr>
            <w:r w:rsidRPr="00D771AF">
              <w:rPr>
                <w:b/>
                <w:sz w:val="20"/>
              </w:rPr>
              <w:t>Rational method peak discharge</w:t>
            </w:r>
            <w:r>
              <w:rPr>
                <w:b/>
                <w:sz w:val="20"/>
              </w:rPr>
              <w:t xml:space="preserve"> (m3/s)</w:t>
            </w:r>
          </w:p>
        </w:tc>
        <w:tc>
          <w:tcPr>
            <w:tcW w:w="2042" w:type="dxa"/>
          </w:tcPr>
          <w:p w:rsidR="00D771AF" w:rsidRPr="00D771AF" w:rsidRDefault="00D771AF" w:rsidP="00D771AF">
            <w:pPr>
              <w:jc w:val="center"/>
              <w:rPr>
                <w:b/>
                <w:sz w:val="20"/>
              </w:rPr>
            </w:pPr>
            <w:r w:rsidRPr="00D771AF">
              <w:rPr>
                <w:b/>
                <w:sz w:val="20"/>
              </w:rPr>
              <w:t xml:space="preserve">XPRAFTS model </w:t>
            </w:r>
            <w:r>
              <w:rPr>
                <w:b/>
                <w:sz w:val="20"/>
              </w:rPr>
              <w:t>peak discharge (</w:t>
            </w:r>
            <w:r w:rsidRPr="00D771AF">
              <w:rPr>
                <w:b/>
                <w:sz w:val="20"/>
              </w:rPr>
              <w:t>m3/s</w:t>
            </w:r>
            <w:r>
              <w:rPr>
                <w:b/>
                <w:sz w:val="20"/>
              </w:rPr>
              <w:t>)</w:t>
            </w:r>
          </w:p>
        </w:tc>
        <w:tc>
          <w:tcPr>
            <w:tcW w:w="1712" w:type="dxa"/>
          </w:tcPr>
          <w:p w:rsidR="00D771AF" w:rsidRPr="00D771AF" w:rsidRDefault="00D771AF" w:rsidP="00D771AF">
            <w:pPr>
              <w:jc w:val="center"/>
              <w:rPr>
                <w:b/>
                <w:sz w:val="20"/>
              </w:rPr>
            </w:pPr>
            <w:r>
              <w:rPr>
                <w:b/>
                <w:sz w:val="20"/>
              </w:rPr>
              <w:t>Agreement (%)</w:t>
            </w:r>
          </w:p>
        </w:tc>
      </w:tr>
      <w:tr w:rsidR="00D771AF" w:rsidTr="00D771AF">
        <w:tc>
          <w:tcPr>
            <w:tcW w:w="1889" w:type="dxa"/>
            <w:vMerge w:val="restart"/>
            <w:vAlign w:val="center"/>
          </w:tcPr>
          <w:p w:rsidR="00D771AF" w:rsidRPr="00D771AF" w:rsidRDefault="00D771AF" w:rsidP="00D771AF">
            <w:pPr>
              <w:jc w:val="center"/>
              <w:rPr>
                <w:sz w:val="20"/>
              </w:rPr>
            </w:pPr>
            <w:r>
              <w:rPr>
                <w:sz w:val="20"/>
              </w:rPr>
              <w:t>1%</w:t>
            </w:r>
          </w:p>
        </w:tc>
        <w:tc>
          <w:tcPr>
            <w:tcW w:w="1926" w:type="dxa"/>
          </w:tcPr>
          <w:p w:rsidR="00D771AF" w:rsidRPr="00D771AF" w:rsidRDefault="00D771AF" w:rsidP="00D771AF">
            <w:pPr>
              <w:jc w:val="center"/>
              <w:rPr>
                <w:sz w:val="20"/>
              </w:rPr>
            </w:pPr>
            <w:r w:rsidRPr="00D771AF">
              <w:rPr>
                <w:sz w:val="20"/>
              </w:rPr>
              <w:t xml:space="preserve">10 </w:t>
            </w:r>
          </w:p>
        </w:tc>
        <w:tc>
          <w:tcPr>
            <w:tcW w:w="2007" w:type="dxa"/>
          </w:tcPr>
          <w:p w:rsidR="00D771AF" w:rsidRPr="00D771AF" w:rsidRDefault="00D771AF" w:rsidP="00D771AF">
            <w:pPr>
              <w:jc w:val="center"/>
              <w:rPr>
                <w:sz w:val="20"/>
              </w:rPr>
            </w:pPr>
            <w:r w:rsidRPr="00D771AF">
              <w:rPr>
                <w:sz w:val="20"/>
              </w:rPr>
              <w:t>0.468</w:t>
            </w:r>
          </w:p>
        </w:tc>
        <w:tc>
          <w:tcPr>
            <w:tcW w:w="2042" w:type="dxa"/>
          </w:tcPr>
          <w:p w:rsidR="00D771AF" w:rsidRPr="00D771AF" w:rsidRDefault="00D771AF" w:rsidP="00D771AF">
            <w:pPr>
              <w:jc w:val="center"/>
              <w:rPr>
                <w:sz w:val="20"/>
              </w:rPr>
            </w:pPr>
            <w:r w:rsidRPr="00D771AF">
              <w:rPr>
                <w:sz w:val="20"/>
              </w:rPr>
              <w:t>0.370</w:t>
            </w:r>
          </w:p>
        </w:tc>
        <w:tc>
          <w:tcPr>
            <w:tcW w:w="1712" w:type="dxa"/>
          </w:tcPr>
          <w:p w:rsidR="00D771AF" w:rsidRPr="00D771AF" w:rsidRDefault="00D771AF" w:rsidP="00D771AF">
            <w:pPr>
              <w:jc w:val="center"/>
              <w:rPr>
                <w:sz w:val="20"/>
              </w:rPr>
            </w:pPr>
            <w:r>
              <w:rPr>
                <w:sz w:val="20"/>
              </w:rPr>
              <w:t>79</w:t>
            </w:r>
          </w:p>
        </w:tc>
      </w:tr>
      <w:tr w:rsidR="00D771AF" w:rsidTr="00D771AF">
        <w:tc>
          <w:tcPr>
            <w:tcW w:w="1889" w:type="dxa"/>
            <w:vMerge/>
          </w:tcPr>
          <w:p w:rsidR="00D771AF" w:rsidRPr="00D771AF" w:rsidRDefault="00D771AF" w:rsidP="00D771AF">
            <w:pPr>
              <w:jc w:val="center"/>
              <w:rPr>
                <w:sz w:val="20"/>
              </w:rPr>
            </w:pPr>
          </w:p>
        </w:tc>
        <w:tc>
          <w:tcPr>
            <w:tcW w:w="1926" w:type="dxa"/>
          </w:tcPr>
          <w:p w:rsidR="00D771AF" w:rsidRPr="00D771AF" w:rsidRDefault="00D771AF" w:rsidP="00D771AF">
            <w:pPr>
              <w:jc w:val="center"/>
              <w:rPr>
                <w:sz w:val="20"/>
              </w:rPr>
            </w:pPr>
            <w:r w:rsidRPr="00D771AF">
              <w:rPr>
                <w:sz w:val="20"/>
              </w:rPr>
              <w:t xml:space="preserve">15 </w:t>
            </w:r>
          </w:p>
        </w:tc>
        <w:tc>
          <w:tcPr>
            <w:tcW w:w="2007" w:type="dxa"/>
          </w:tcPr>
          <w:p w:rsidR="00D771AF" w:rsidRPr="00D771AF" w:rsidRDefault="00D771AF" w:rsidP="00D771AF">
            <w:pPr>
              <w:jc w:val="center"/>
              <w:rPr>
                <w:sz w:val="20"/>
              </w:rPr>
            </w:pPr>
            <w:r w:rsidRPr="00D771AF">
              <w:rPr>
                <w:sz w:val="20"/>
              </w:rPr>
              <w:t>0.411</w:t>
            </w:r>
          </w:p>
        </w:tc>
        <w:tc>
          <w:tcPr>
            <w:tcW w:w="2042" w:type="dxa"/>
          </w:tcPr>
          <w:p w:rsidR="00D771AF" w:rsidRPr="00D771AF" w:rsidRDefault="00D771AF" w:rsidP="00D771AF">
            <w:pPr>
              <w:jc w:val="center"/>
              <w:rPr>
                <w:sz w:val="20"/>
              </w:rPr>
            </w:pPr>
            <w:r w:rsidRPr="00D771AF">
              <w:rPr>
                <w:sz w:val="20"/>
              </w:rPr>
              <w:t>0.408</w:t>
            </w:r>
          </w:p>
        </w:tc>
        <w:tc>
          <w:tcPr>
            <w:tcW w:w="1712" w:type="dxa"/>
          </w:tcPr>
          <w:p w:rsidR="00D771AF" w:rsidRPr="00D771AF" w:rsidRDefault="00D771AF" w:rsidP="00D771AF">
            <w:pPr>
              <w:jc w:val="center"/>
              <w:rPr>
                <w:sz w:val="20"/>
              </w:rPr>
            </w:pPr>
            <w:r>
              <w:rPr>
                <w:sz w:val="20"/>
              </w:rPr>
              <w:t>99</w:t>
            </w:r>
          </w:p>
        </w:tc>
      </w:tr>
      <w:tr w:rsidR="00D771AF" w:rsidTr="00D771AF">
        <w:tc>
          <w:tcPr>
            <w:tcW w:w="1889" w:type="dxa"/>
            <w:vMerge/>
          </w:tcPr>
          <w:p w:rsidR="00D771AF" w:rsidRPr="00D771AF" w:rsidRDefault="00D771AF" w:rsidP="00D771AF">
            <w:pPr>
              <w:jc w:val="center"/>
              <w:rPr>
                <w:sz w:val="20"/>
              </w:rPr>
            </w:pPr>
          </w:p>
        </w:tc>
        <w:tc>
          <w:tcPr>
            <w:tcW w:w="1926" w:type="dxa"/>
          </w:tcPr>
          <w:p w:rsidR="00D771AF" w:rsidRPr="00D771AF" w:rsidRDefault="00D771AF" w:rsidP="00D771AF">
            <w:pPr>
              <w:jc w:val="center"/>
              <w:rPr>
                <w:sz w:val="20"/>
              </w:rPr>
            </w:pPr>
            <w:r w:rsidRPr="00D771AF">
              <w:rPr>
                <w:sz w:val="20"/>
              </w:rPr>
              <w:t xml:space="preserve">20 </w:t>
            </w:r>
          </w:p>
        </w:tc>
        <w:tc>
          <w:tcPr>
            <w:tcW w:w="2007" w:type="dxa"/>
          </w:tcPr>
          <w:p w:rsidR="00D771AF" w:rsidRPr="00D771AF" w:rsidRDefault="00D771AF" w:rsidP="00D771AF">
            <w:pPr>
              <w:jc w:val="center"/>
              <w:rPr>
                <w:sz w:val="20"/>
              </w:rPr>
            </w:pPr>
            <w:r w:rsidRPr="00D771AF">
              <w:rPr>
                <w:sz w:val="20"/>
              </w:rPr>
              <w:t>0.354</w:t>
            </w:r>
          </w:p>
        </w:tc>
        <w:tc>
          <w:tcPr>
            <w:tcW w:w="2042" w:type="dxa"/>
          </w:tcPr>
          <w:p w:rsidR="00D771AF" w:rsidRPr="00D771AF" w:rsidRDefault="00D771AF" w:rsidP="00D771AF">
            <w:pPr>
              <w:jc w:val="center"/>
              <w:rPr>
                <w:sz w:val="20"/>
              </w:rPr>
            </w:pPr>
            <w:r w:rsidRPr="00D771AF">
              <w:rPr>
                <w:sz w:val="20"/>
              </w:rPr>
              <w:t>0.476</w:t>
            </w:r>
          </w:p>
        </w:tc>
        <w:tc>
          <w:tcPr>
            <w:tcW w:w="1712" w:type="dxa"/>
          </w:tcPr>
          <w:p w:rsidR="00D771AF" w:rsidRPr="00D771AF" w:rsidRDefault="0032140A" w:rsidP="00D771AF">
            <w:pPr>
              <w:jc w:val="center"/>
              <w:rPr>
                <w:sz w:val="20"/>
              </w:rPr>
            </w:pPr>
            <w:r>
              <w:rPr>
                <w:sz w:val="20"/>
              </w:rPr>
              <w:t>74</w:t>
            </w:r>
          </w:p>
        </w:tc>
      </w:tr>
      <w:tr w:rsidR="00D771AF" w:rsidTr="00D771AF">
        <w:tc>
          <w:tcPr>
            <w:tcW w:w="1889" w:type="dxa"/>
            <w:vMerge/>
          </w:tcPr>
          <w:p w:rsidR="00D771AF" w:rsidRPr="00D771AF" w:rsidRDefault="00D771AF" w:rsidP="00D771AF">
            <w:pPr>
              <w:jc w:val="center"/>
              <w:rPr>
                <w:sz w:val="20"/>
              </w:rPr>
            </w:pPr>
          </w:p>
        </w:tc>
        <w:tc>
          <w:tcPr>
            <w:tcW w:w="1926" w:type="dxa"/>
          </w:tcPr>
          <w:p w:rsidR="00D771AF" w:rsidRPr="00D771AF" w:rsidRDefault="00D771AF" w:rsidP="00D771AF">
            <w:pPr>
              <w:jc w:val="center"/>
              <w:rPr>
                <w:sz w:val="20"/>
              </w:rPr>
            </w:pPr>
            <w:r w:rsidRPr="00D771AF">
              <w:rPr>
                <w:sz w:val="20"/>
              </w:rPr>
              <w:t xml:space="preserve">30 </w:t>
            </w:r>
          </w:p>
        </w:tc>
        <w:tc>
          <w:tcPr>
            <w:tcW w:w="2007" w:type="dxa"/>
          </w:tcPr>
          <w:p w:rsidR="00D771AF" w:rsidRPr="00D771AF" w:rsidRDefault="00D771AF" w:rsidP="00D771AF">
            <w:pPr>
              <w:jc w:val="center"/>
              <w:rPr>
                <w:sz w:val="20"/>
              </w:rPr>
            </w:pPr>
            <w:r w:rsidRPr="00D771AF">
              <w:rPr>
                <w:sz w:val="20"/>
              </w:rPr>
              <w:t>0.291</w:t>
            </w:r>
          </w:p>
        </w:tc>
        <w:tc>
          <w:tcPr>
            <w:tcW w:w="2042" w:type="dxa"/>
          </w:tcPr>
          <w:p w:rsidR="00D771AF" w:rsidRPr="00D771AF" w:rsidRDefault="00D771AF" w:rsidP="00D771AF">
            <w:pPr>
              <w:jc w:val="center"/>
              <w:rPr>
                <w:sz w:val="20"/>
              </w:rPr>
            </w:pPr>
            <w:r w:rsidRPr="00D771AF">
              <w:rPr>
                <w:sz w:val="20"/>
              </w:rPr>
              <w:t>0.456</w:t>
            </w:r>
          </w:p>
        </w:tc>
        <w:tc>
          <w:tcPr>
            <w:tcW w:w="1712" w:type="dxa"/>
          </w:tcPr>
          <w:p w:rsidR="00D771AF" w:rsidRPr="00D771AF" w:rsidRDefault="0032140A" w:rsidP="00D771AF">
            <w:pPr>
              <w:jc w:val="center"/>
              <w:rPr>
                <w:sz w:val="20"/>
              </w:rPr>
            </w:pPr>
            <w:r>
              <w:rPr>
                <w:sz w:val="20"/>
              </w:rPr>
              <w:t>64</w:t>
            </w:r>
          </w:p>
        </w:tc>
      </w:tr>
      <w:tr w:rsidR="00D771AF" w:rsidTr="00D771AF">
        <w:tc>
          <w:tcPr>
            <w:tcW w:w="1889" w:type="dxa"/>
            <w:vMerge/>
          </w:tcPr>
          <w:p w:rsidR="00D771AF" w:rsidRPr="00D771AF" w:rsidRDefault="00D771AF" w:rsidP="00D771AF">
            <w:pPr>
              <w:jc w:val="center"/>
              <w:rPr>
                <w:sz w:val="20"/>
              </w:rPr>
            </w:pPr>
          </w:p>
        </w:tc>
        <w:tc>
          <w:tcPr>
            <w:tcW w:w="1926" w:type="dxa"/>
          </w:tcPr>
          <w:p w:rsidR="00D771AF" w:rsidRPr="00D771AF" w:rsidRDefault="00D771AF" w:rsidP="00D771AF">
            <w:pPr>
              <w:jc w:val="center"/>
              <w:rPr>
                <w:sz w:val="20"/>
              </w:rPr>
            </w:pPr>
            <w:r w:rsidRPr="00D771AF">
              <w:rPr>
                <w:sz w:val="20"/>
              </w:rPr>
              <w:t xml:space="preserve">60 </w:t>
            </w:r>
          </w:p>
        </w:tc>
        <w:tc>
          <w:tcPr>
            <w:tcW w:w="2007" w:type="dxa"/>
          </w:tcPr>
          <w:p w:rsidR="00D771AF" w:rsidRPr="00D771AF" w:rsidRDefault="00D771AF" w:rsidP="00D771AF">
            <w:pPr>
              <w:jc w:val="center"/>
              <w:rPr>
                <w:sz w:val="20"/>
              </w:rPr>
            </w:pPr>
            <w:r w:rsidRPr="00D771AF">
              <w:rPr>
                <w:sz w:val="20"/>
              </w:rPr>
              <w:t>0.200</w:t>
            </w:r>
          </w:p>
        </w:tc>
        <w:tc>
          <w:tcPr>
            <w:tcW w:w="2042" w:type="dxa"/>
          </w:tcPr>
          <w:p w:rsidR="00D771AF" w:rsidRPr="00D771AF" w:rsidRDefault="00D771AF" w:rsidP="00D771AF">
            <w:pPr>
              <w:jc w:val="center"/>
              <w:rPr>
                <w:sz w:val="20"/>
              </w:rPr>
            </w:pPr>
            <w:r w:rsidRPr="00D771AF">
              <w:rPr>
                <w:sz w:val="20"/>
              </w:rPr>
              <w:t>0.447</w:t>
            </w:r>
          </w:p>
        </w:tc>
        <w:tc>
          <w:tcPr>
            <w:tcW w:w="1712" w:type="dxa"/>
          </w:tcPr>
          <w:p w:rsidR="00D771AF" w:rsidRPr="00D771AF" w:rsidRDefault="0032140A" w:rsidP="00D771AF">
            <w:pPr>
              <w:jc w:val="center"/>
              <w:rPr>
                <w:sz w:val="20"/>
              </w:rPr>
            </w:pPr>
            <w:r>
              <w:rPr>
                <w:sz w:val="20"/>
              </w:rPr>
              <w:t>45</w:t>
            </w:r>
          </w:p>
        </w:tc>
      </w:tr>
      <w:tr w:rsidR="00D771AF" w:rsidTr="00D771AF">
        <w:tc>
          <w:tcPr>
            <w:tcW w:w="1889" w:type="dxa"/>
            <w:vMerge/>
          </w:tcPr>
          <w:p w:rsidR="00D771AF" w:rsidRPr="00D771AF" w:rsidRDefault="00D771AF" w:rsidP="00D771AF">
            <w:pPr>
              <w:jc w:val="center"/>
              <w:rPr>
                <w:sz w:val="20"/>
              </w:rPr>
            </w:pPr>
          </w:p>
        </w:tc>
        <w:tc>
          <w:tcPr>
            <w:tcW w:w="1926" w:type="dxa"/>
          </w:tcPr>
          <w:p w:rsidR="00D771AF" w:rsidRPr="00D771AF" w:rsidRDefault="00D771AF" w:rsidP="00D771AF">
            <w:pPr>
              <w:jc w:val="center"/>
              <w:rPr>
                <w:sz w:val="20"/>
              </w:rPr>
            </w:pPr>
            <w:r w:rsidRPr="00D771AF">
              <w:rPr>
                <w:sz w:val="20"/>
              </w:rPr>
              <w:t xml:space="preserve">120 </w:t>
            </w:r>
          </w:p>
        </w:tc>
        <w:tc>
          <w:tcPr>
            <w:tcW w:w="2007" w:type="dxa"/>
          </w:tcPr>
          <w:p w:rsidR="00D771AF" w:rsidRPr="00D771AF" w:rsidRDefault="00D771AF" w:rsidP="00D771AF">
            <w:pPr>
              <w:jc w:val="center"/>
              <w:rPr>
                <w:sz w:val="20"/>
              </w:rPr>
            </w:pPr>
            <w:r w:rsidRPr="00D771AF">
              <w:rPr>
                <w:sz w:val="20"/>
              </w:rPr>
              <w:t>0.129</w:t>
            </w:r>
          </w:p>
        </w:tc>
        <w:tc>
          <w:tcPr>
            <w:tcW w:w="2042" w:type="dxa"/>
          </w:tcPr>
          <w:p w:rsidR="00D771AF" w:rsidRPr="00D771AF" w:rsidRDefault="00D771AF" w:rsidP="00D771AF">
            <w:pPr>
              <w:jc w:val="center"/>
              <w:rPr>
                <w:sz w:val="20"/>
              </w:rPr>
            </w:pPr>
            <w:r w:rsidRPr="00D771AF">
              <w:rPr>
                <w:sz w:val="20"/>
              </w:rPr>
              <w:t>0.296</w:t>
            </w:r>
          </w:p>
        </w:tc>
        <w:tc>
          <w:tcPr>
            <w:tcW w:w="1712" w:type="dxa"/>
          </w:tcPr>
          <w:p w:rsidR="00D771AF" w:rsidRPr="00D771AF" w:rsidRDefault="0032140A" w:rsidP="00D771AF">
            <w:pPr>
              <w:jc w:val="center"/>
              <w:rPr>
                <w:sz w:val="20"/>
              </w:rPr>
            </w:pPr>
            <w:r>
              <w:rPr>
                <w:sz w:val="20"/>
              </w:rPr>
              <w:t>44</w:t>
            </w:r>
          </w:p>
        </w:tc>
      </w:tr>
    </w:tbl>
    <w:p w:rsidR="000A0DE1" w:rsidRDefault="000A0DE1" w:rsidP="000A0DE1">
      <w:pPr>
        <w:jc w:val="center"/>
      </w:pPr>
    </w:p>
    <w:p w:rsidR="00E04A34" w:rsidRDefault="00C67A15" w:rsidP="00623335">
      <w:pPr>
        <w:jc w:val="center"/>
      </w:pPr>
      <w:r>
        <w:rPr>
          <w:noProof/>
          <w:lang w:val="en-AU" w:eastAsia="en-AU"/>
        </w:rPr>
        <w:drawing>
          <wp:inline distT="0" distB="0" distL="0" distR="0" wp14:anchorId="4C8E0738" wp14:editId="7FB7BB8B">
            <wp:extent cx="5181600" cy="28765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04A34" w:rsidRDefault="00E04A34" w:rsidP="00E04A34">
      <w:pPr>
        <w:jc w:val="center"/>
      </w:pPr>
      <w:r w:rsidRPr="00D771AF">
        <w:rPr>
          <w:b/>
          <w:noProof/>
        </w:rPr>
        <w:t>Table 1:</w:t>
      </w:r>
      <w:r>
        <w:rPr>
          <w:noProof/>
        </w:rPr>
        <w:t xml:space="preserve"> </w:t>
      </w:r>
      <w:r w:rsidRPr="0032140A">
        <w:rPr>
          <w:b/>
          <w:noProof/>
        </w:rPr>
        <w:t>Overland flow through suburban properties</w:t>
      </w:r>
      <w:r>
        <w:rPr>
          <w:b/>
          <w:noProof/>
        </w:rPr>
        <w:t xml:space="preserve"> – p</w:t>
      </w:r>
      <w:r w:rsidR="00F10D7C">
        <w:rPr>
          <w:b/>
          <w:noProof/>
        </w:rPr>
        <w:t>ost</w:t>
      </w:r>
      <w:r>
        <w:rPr>
          <w:b/>
          <w:noProof/>
        </w:rPr>
        <w:t>-development</w:t>
      </w:r>
    </w:p>
    <w:tbl>
      <w:tblPr>
        <w:tblStyle w:val="TableGrid"/>
        <w:tblW w:w="0" w:type="auto"/>
        <w:tblLook w:val="04A0" w:firstRow="1" w:lastRow="0" w:firstColumn="1" w:lastColumn="0" w:noHBand="0" w:noVBand="1"/>
      </w:tblPr>
      <w:tblGrid>
        <w:gridCol w:w="1889"/>
        <w:gridCol w:w="1926"/>
        <w:gridCol w:w="2247"/>
        <w:gridCol w:w="1802"/>
        <w:gridCol w:w="1712"/>
      </w:tblGrid>
      <w:tr w:rsidR="00E04A34" w:rsidTr="009C3530">
        <w:tc>
          <w:tcPr>
            <w:tcW w:w="1889" w:type="dxa"/>
          </w:tcPr>
          <w:p w:rsidR="00E04A34" w:rsidRPr="00D771AF" w:rsidRDefault="00E04A34" w:rsidP="00E04A34">
            <w:pPr>
              <w:jc w:val="center"/>
              <w:rPr>
                <w:b/>
                <w:sz w:val="20"/>
              </w:rPr>
            </w:pPr>
            <w:r w:rsidRPr="00D771AF">
              <w:rPr>
                <w:b/>
                <w:sz w:val="20"/>
              </w:rPr>
              <w:t>Annual Exceedance Probability (AEP)</w:t>
            </w:r>
          </w:p>
        </w:tc>
        <w:tc>
          <w:tcPr>
            <w:tcW w:w="1926" w:type="dxa"/>
          </w:tcPr>
          <w:p w:rsidR="00E04A34" w:rsidRPr="00D771AF" w:rsidRDefault="00E04A34" w:rsidP="00E04A34">
            <w:pPr>
              <w:jc w:val="center"/>
              <w:rPr>
                <w:b/>
                <w:sz w:val="20"/>
              </w:rPr>
            </w:pPr>
            <w:r w:rsidRPr="00D771AF">
              <w:rPr>
                <w:b/>
                <w:sz w:val="20"/>
              </w:rPr>
              <w:t>Design storm duration (mins)</w:t>
            </w:r>
          </w:p>
        </w:tc>
        <w:tc>
          <w:tcPr>
            <w:tcW w:w="2247" w:type="dxa"/>
          </w:tcPr>
          <w:p w:rsidR="00E04A34" w:rsidRPr="00D771AF" w:rsidRDefault="00E04A34" w:rsidP="00E04A34">
            <w:pPr>
              <w:jc w:val="center"/>
              <w:rPr>
                <w:b/>
                <w:sz w:val="20"/>
              </w:rPr>
            </w:pPr>
            <w:r w:rsidRPr="00D771AF">
              <w:rPr>
                <w:b/>
                <w:sz w:val="20"/>
              </w:rPr>
              <w:t>Rational method peak discharge</w:t>
            </w:r>
            <w:r>
              <w:rPr>
                <w:b/>
                <w:sz w:val="20"/>
              </w:rPr>
              <w:t xml:space="preserve"> (m3/s)</w:t>
            </w:r>
          </w:p>
        </w:tc>
        <w:tc>
          <w:tcPr>
            <w:tcW w:w="1802" w:type="dxa"/>
          </w:tcPr>
          <w:p w:rsidR="00E04A34" w:rsidRPr="00D771AF" w:rsidRDefault="00E04A34" w:rsidP="00E04A34">
            <w:pPr>
              <w:jc w:val="center"/>
              <w:rPr>
                <w:b/>
                <w:sz w:val="20"/>
              </w:rPr>
            </w:pPr>
            <w:r w:rsidRPr="00D771AF">
              <w:rPr>
                <w:b/>
                <w:sz w:val="20"/>
              </w:rPr>
              <w:t xml:space="preserve">XPRAFTS model </w:t>
            </w:r>
            <w:r>
              <w:rPr>
                <w:b/>
                <w:sz w:val="20"/>
              </w:rPr>
              <w:t>peak discharge (</w:t>
            </w:r>
            <w:r w:rsidRPr="00D771AF">
              <w:rPr>
                <w:b/>
                <w:sz w:val="20"/>
              </w:rPr>
              <w:t>m3/s</w:t>
            </w:r>
            <w:r>
              <w:rPr>
                <w:b/>
                <w:sz w:val="20"/>
              </w:rPr>
              <w:t>)</w:t>
            </w:r>
          </w:p>
        </w:tc>
        <w:tc>
          <w:tcPr>
            <w:tcW w:w="1712" w:type="dxa"/>
          </w:tcPr>
          <w:p w:rsidR="00E04A34" w:rsidRPr="00D771AF" w:rsidRDefault="00E04A34" w:rsidP="00E04A34">
            <w:pPr>
              <w:jc w:val="center"/>
              <w:rPr>
                <w:b/>
                <w:sz w:val="20"/>
              </w:rPr>
            </w:pPr>
            <w:r>
              <w:rPr>
                <w:b/>
                <w:sz w:val="20"/>
              </w:rPr>
              <w:t>Agreement (%)</w:t>
            </w:r>
          </w:p>
        </w:tc>
      </w:tr>
      <w:tr w:rsidR="00E04A34" w:rsidTr="009C3530">
        <w:tc>
          <w:tcPr>
            <w:tcW w:w="1889" w:type="dxa"/>
            <w:vMerge w:val="restart"/>
            <w:vAlign w:val="center"/>
          </w:tcPr>
          <w:p w:rsidR="00E04A34" w:rsidRPr="00D771AF" w:rsidRDefault="00E04A34" w:rsidP="00E04A34">
            <w:pPr>
              <w:jc w:val="center"/>
              <w:rPr>
                <w:sz w:val="20"/>
              </w:rPr>
            </w:pPr>
            <w:r>
              <w:rPr>
                <w:sz w:val="20"/>
              </w:rPr>
              <w:t>1%</w:t>
            </w:r>
          </w:p>
        </w:tc>
        <w:tc>
          <w:tcPr>
            <w:tcW w:w="1926" w:type="dxa"/>
          </w:tcPr>
          <w:p w:rsidR="00E04A34" w:rsidRPr="00D771AF" w:rsidRDefault="00E04A34" w:rsidP="00E04A34">
            <w:pPr>
              <w:jc w:val="center"/>
              <w:rPr>
                <w:sz w:val="20"/>
              </w:rPr>
            </w:pPr>
            <w:r w:rsidRPr="00D771AF">
              <w:rPr>
                <w:sz w:val="20"/>
              </w:rPr>
              <w:t xml:space="preserve">10 </w:t>
            </w:r>
          </w:p>
        </w:tc>
        <w:tc>
          <w:tcPr>
            <w:tcW w:w="2247" w:type="dxa"/>
          </w:tcPr>
          <w:p w:rsidR="00E04A34" w:rsidRPr="00D771AF" w:rsidRDefault="00E04A34" w:rsidP="00F10D7C">
            <w:pPr>
              <w:jc w:val="center"/>
              <w:rPr>
                <w:sz w:val="20"/>
              </w:rPr>
            </w:pPr>
            <w:r w:rsidRPr="00D771AF">
              <w:rPr>
                <w:sz w:val="20"/>
              </w:rPr>
              <w:t>0.4</w:t>
            </w:r>
            <w:r w:rsidR="00F10D7C">
              <w:rPr>
                <w:sz w:val="20"/>
              </w:rPr>
              <w:t>83</w:t>
            </w:r>
          </w:p>
        </w:tc>
        <w:tc>
          <w:tcPr>
            <w:tcW w:w="1802" w:type="dxa"/>
          </w:tcPr>
          <w:p w:rsidR="00E04A34" w:rsidRPr="00D771AF" w:rsidRDefault="00F10D7C" w:rsidP="00E04A34">
            <w:pPr>
              <w:jc w:val="center"/>
              <w:rPr>
                <w:sz w:val="20"/>
              </w:rPr>
            </w:pPr>
            <w:r>
              <w:rPr>
                <w:sz w:val="20"/>
              </w:rPr>
              <w:t>0.612</w:t>
            </w:r>
          </w:p>
        </w:tc>
        <w:tc>
          <w:tcPr>
            <w:tcW w:w="1712" w:type="dxa"/>
          </w:tcPr>
          <w:p w:rsidR="00E04A34" w:rsidRPr="00D771AF" w:rsidRDefault="00E04A34" w:rsidP="00E04A34">
            <w:pPr>
              <w:jc w:val="center"/>
              <w:rPr>
                <w:sz w:val="20"/>
              </w:rPr>
            </w:pPr>
            <w:r>
              <w:rPr>
                <w:sz w:val="20"/>
              </w:rPr>
              <w:t>79</w:t>
            </w:r>
          </w:p>
        </w:tc>
      </w:tr>
      <w:tr w:rsidR="00E04A34" w:rsidTr="009C3530">
        <w:tc>
          <w:tcPr>
            <w:tcW w:w="1889" w:type="dxa"/>
            <w:vMerge/>
          </w:tcPr>
          <w:p w:rsidR="00E04A34" w:rsidRPr="00D771AF" w:rsidRDefault="00E04A34" w:rsidP="00E04A34">
            <w:pPr>
              <w:jc w:val="center"/>
              <w:rPr>
                <w:sz w:val="20"/>
              </w:rPr>
            </w:pPr>
          </w:p>
        </w:tc>
        <w:tc>
          <w:tcPr>
            <w:tcW w:w="1926" w:type="dxa"/>
          </w:tcPr>
          <w:p w:rsidR="00E04A34" w:rsidRPr="00D771AF" w:rsidRDefault="00E04A34" w:rsidP="00E04A34">
            <w:pPr>
              <w:jc w:val="center"/>
              <w:rPr>
                <w:sz w:val="20"/>
              </w:rPr>
            </w:pPr>
            <w:r w:rsidRPr="00D771AF">
              <w:rPr>
                <w:sz w:val="20"/>
              </w:rPr>
              <w:t xml:space="preserve">15 </w:t>
            </w:r>
          </w:p>
        </w:tc>
        <w:tc>
          <w:tcPr>
            <w:tcW w:w="2247" w:type="dxa"/>
          </w:tcPr>
          <w:p w:rsidR="00E04A34" w:rsidRPr="00D771AF" w:rsidRDefault="00E04A34" w:rsidP="00F10D7C">
            <w:pPr>
              <w:jc w:val="center"/>
              <w:rPr>
                <w:sz w:val="20"/>
              </w:rPr>
            </w:pPr>
            <w:r w:rsidRPr="00D771AF">
              <w:rPr>
                <w:sz w:val="20"/>
              </w:rPr>
              <w:t>0.4</w:t>
            </w:r>
            <w:r w:rsidR="00F10D7C">
              <w:rPr>
                <w:sz w:val="20"/>
              </w:rPr>
              <w:t>24</w:t>
            </w:r>
          </w:p>
        </w:tc>
        <w:tc>
          <w:tcPr>
            <w:tcW w:w="1802" w:type="dxa"/>
          </w:tcPr>
          <w:p w:rsidR="00E04A34" w:rsidRPr="00D771AF" w:rsidRDefault="00F10D7C" w:rsidP="00E04A34">
            <w:pPr>
              <w:jc w:val="center"/>
              <w:rPr>
                <w:sz w:val="20"/>
              </w:rPr>
            </w:pPr>
            <w:r>
              <w:rPr>
                <w:sz w:val="20"/>
              </w:rPr>
              <w:t>0.615</w:t>
            </w:r>
          </w:p>
        </w:tc>
        <w:tc>
          <w:tcPr>
            <w:tcW w:w="1712" w:type="dxa"/>
          </w:tcPr>
          <w:p w:rsidR="00E04A34" w:rsidRPr="00D771AF" w:rsidRDefault="00F10D7C" w:rsidP="00E04A34">
            <w:pPr>
              <w:jc w:val="center"/>
              <w:rPr>
                <w:sz w:val="20"/>
              </w:rPr>
            </w:pPr>
            <w:r>
              <w:rPr>
                <w:sz w:val="20"/>
              </w:rPr>
              <w:t>69</w:t>
            </w:r>
          </w:p>
        </w:tc>
      </w:tr>
      <w:tr w:rsidR="00E04A34" w:rsidTr="009C3530">
        <w:tc>
          <w:tcPr>
            <w:tcW w:w="1889" w:type="dxa"/>
            <w:vMerge/>
          </w:tcPr>
          <w:p w:rsidR="00E04A34" w:rsidRPr="00D771AF" w:rsidRDefault="00E04A34" w:rsidP="00E04A34">
            <w:pPr>
              <w:jc w:val="center"/>
              <w:rPr>
                <w:sz w:val="20"/>
              </w:rPr>
            </w:pPr>
          </w:p>
        </w:tc>
        <w:tc>
          <w:tcPr>
            <w:tcW w:w="1926" w:type="dxa"/>
          </w:tcPr>
          <w:p w:rsidR="00E04A34" w:rsidRPr="00D771AF" w:rsidRDefault="00E04A34" w:rsidP="00E04A34">
            <w:pPr>
              <w:jc w:val="center"/>
              <w:rPr>
                <w:sz w:val="20"/>
              </w:rPr>
            </w:pPr>
            <w:r w:rsidRPr="00D771AF">
              <w:rPr>
                <w:sz w:val="20"/>
              </w:rPr>
              <w:t xml:space="preserve">20 </w:t>
            </w:r>
          </w:p>
        </w:tc>
        <w:tc>
          <w:tcPr>
            <w:tcW w:w="2247" w:type="dxa"/>
          </w:tcPr>
          <w:p w:rsidR="00E04A34" w:rsidRPr="00D771AF" w:rsidRDefault="00E04A34" w:rsidP="00F10D7C">
            <w:pPr>
              <w:jc w:val="center"/>
              <w:rPr>
                <w:sz w:val="20"/>
              </w:rPr>
            </w:pPr>
            <w:r w:rsidRPr="00D771AF">
              <w:rPr>
                <w:sz w:val="20"/>
              </w:rPr>
              <w:t>0.3</w:t>
            </w:r>
            <w:r w:rsidR="00F10D7C">
              <w:rPr>
                <w:sz w:val="20"/>
              </w:rPr>
              <w:t>65</w:t>
            </w:r>
          </w:p>
        </w:tc>
        <w:tc>
          <w:tcPr>
            <w:tcW w:w="1802" w:type="dxa"/>
          </w:tcPr>
          <w:p w:rsidR="00E04A34" w:rsidRPr="00D771AF" w:rsidRDefault="00F10D7C" w:rsidP="00E04A34">
            <w:pPr>
              <w:jc w:val="center"/>
              <w:rPr>
                <w:sz w:val="20"/>
              </w:rPr>
            </w:pPr>
            <w:r>
              <w:rPr>
                <w:sz w:val="20"/>
              </w:rPr>
              <w:t>0.640</w:t>
            </w:r>
          </w:p>
        </w:tc>
        <w:tc>
          <w:tcPr>
            <w:tcW w:w="1712" w:type="dxa"/>
          </w:tcPr>
          <w:p w:rsidR="00E04A34" w:rsidRPr="00D771AF" w:rsidRDefault="00F10D7C" w:rsidP="00E04A34">
            <w:pPr>
              <w:jc w:val="center"/>
              <w:rPr>
                <w:sz w:val="20"/>
              </w:rPr>
            </w:pPr>
            <w:r>
              <w:rPr>
                <w:sz w:val="20"/>
              </w:rPr>
              <w:t>57</w:t>
            </w:r>
          </w:p>
        </w:tc>
      </w:tr>
      <w:tr w:rsidR="00E04A34" w:rsidTr="009C3530">
        <w:tc>
          <w:tcPr>
            <w:tcW w:w="1889" w:type="dxa"/>
            <w:vMerge/>
          </w:tcPr>
          <w:p w:rsidR="00E04A34" w:rsidRPr="00D771AF" w:rsidRDefault="00E04A34" w:rsidP="00E04A34">
            <w:pPr>
              <w:jc w:val="center"/>
              <w:rPr>
                <w:sz w:val="20"/>
              </w:rPr>
            </w:pPr>
          </w:p>
        </w:tc>
        <w:tc>
          <w:tcPr>
            <w:tcW w:w="1926" w:type="dxa"/>
          </w:tcPr>
          <w:p w:rsidR="00E04A34" w:rsidRPr="00D771AF" w:rsidRDefault="00E04A34" w:rsidP="00E04A34">
            <w:pPr>
              <w:jc w:val="center"/>
              <w:rPr>
                <w:sz w:val="20"/>
              </w:rPr>
            </w:pPr>
            <w:r w:rsidRPr="00D771AF">
              <w:rPr>
                <w:sz w:val="20"/>
              </w:rPr>
              <w:t xml:space="preserve">30 </w:t>
            </w:r>
          </w:p>
        </w:tc>
        <w:tc>
          <w:tcPr>
            <w:tcW w:w="2247" w:type="dxa"/>
          </w:tcPr>
          <w:p w:rsidR="00E04A34" w:rsidRPr="00D771AF" w:rsidRDefault="00E04A34" w:rsidP="00F10D7C">
            <w:pPr>
              <w:jc w:val="center"/>
              <w:rPr>
                <w:sz w:val="20"/>
              </w:rPr>
            </w:pPr>
            <w:r w:rsidRPr="00D771AF">
              <w:rPr>
                <w:sz w:val="20"/>
              </w:rPr>
              <w:t>0.</w:t>
            </w:r>
            <w:r w:rsidR="00F10D7C">
              <w:rPr>
                <w:sz w:val="20"/>
              </w:rPr>
              <w:t>301</w:t>
            </w:r>
          </w:p>
        </w:tc>
        <w:tc>
          <w:tcPr>
            <w:tcW w:w="1802" w:type="dxa"/>
          </w:tcPr>
          <w:p w:rsidR="00E04A34" w:rsidRPr="00D771AF" w:rsidRDefault="00F10D7C" w:rsidP="00E04A34">
            <w:pPr>
              <w:jc w:val="center"/>
              <w:rPr>
                <w:sz w:val="20"/>
              </w:rPr>
            </w:pPr>
            <w:r>
              <w:rPr>
                <w:sz w:val="20"/>
              </w:rPr>
              <w:t>0.564</w:t>
            </w:r>
          </w:p>
        </w:tc>
        <w:tc>
          <w:tcPr>
            <w:tcW w:w="1712" w:type="dxa"/>
          </w:tcPr>
          <w:p w:rsidR="00E04A34" w:rsidRPr="00D771AF" w:rsidRDefault="00F10D7C" w:rsidP="00E04A34">
            <w:pPr>
              <w:jc w:val="center"/>
              <w:rPr>
                <w:sz w:val="20"/>
              </w:rPr>
            </w:pPr>
            <w:r>
              <w:rPr>
                <w:sz w:val="20"/>
              </w:rPr>
              <w:t>53</w:t>
            </w:r>
          </w:p>
        </w:tc>
      </w:tr>
      <w:tr w:rsidR="00E04A34" w:rsidTr="009C3530">
        <w:tc>
          <w:tcPr>
            <w:tcW w:w="1889" w:type="dxa"/>
            <w:vMerge/>
          </w:tcPr>
          <w:p w:rsidR="00E04A34" w:rsidRPr="00D771AF" w:rsidRDefault="00E04A34" w:rsidP="00E04A34">
            <w:pPr>
              <w:jc w:val="center"/>
              <w:rPr>
                <w:sz w:val="20"/>
              </w:rPr>
            </w:pPr>
          </w:p>
        </w:tc>
        <w:tc>
          <w:tcPr>
            <w:tcW w:w="1926" w:type="dxa"/>
          </w:tcPr>
          <w:p w:rsidR="00E04A34" w:rsidRPr="00D771AF" w:rsidRDefault="00E04A34" w:rsidP="00E04A34">
            <w:pPr>
              <w:jc w:val="center"/>
              <w:rPr>
                <w:sz w:val="20"/>
              </w:rPr>
            </w:pPr>
            <w:r w:rsidRPr="00D771AF">
              <w:rPr>
                <w:sz w:val="20"/>
              </w:rPr>
              <w:t xml:space="preserve">60 </w:t>
            </w:r>
          </w:p>
        </w:tc>
        <w:tc>
          <w:tcPr>
            <w:tcW w:w="2247" w:type="dxa"/>
          </w:tcPr>
          <w:p w:rsidR="00E04A34" w:rsidRPr="00D771AF" w:rsidRDefault="00E04A34" w:rsidP="00F10D7C">
            <w:pPr>
              <w:jc w:val="center"/>
              <w:rPr>
                <w:sz w:val="20"/>
              </w:rPr>
            </w:pPr>
            <w:r w:rsidRPr="00D771AF">
              <w:rPr>
                <w:sz w:val="20"/>
              </w:rPr>
              <w:t>0.20</w:t>
            </w:r>
            <w:r w:rsidR="00F10D7C">
              <w:rPr>
                <w:sz w:val="20"/>
              </w:rPr>
              <w:t>6</w:t>
            </w:r>
          </w:p>
        </w:tc>
        <w:tc>
          <w:tcPr>
            <w:tcW w:w="1802" w:type="dxa"/>
          </w:tcPr>
          <w:p w:rsidR="00E04A34" w:rsidRPr="00D771AF" w:rsidRDefault="00F10D7C" w:rsidP="00E04A34">
            <w:pPr>
              <w:jc w:val="center"/>
              <w:rPr>
                <w:sz w:val="20"/>
              </w:rPr>
            </w:pPr>
            <w:r>
              <w:rPr>
                <w:sz w:val="20"/>
              </w:rPr>
              <w:t>0.596</w:t>
            </w:r>
          </w:p>
        </w:tc>
        <w:tc>
          <w:tcPr>
            <w:tcW w:w="1712" w:type="dxa"/>
          </w:tcPr>
          <w:p w:rsidR="00E04A34" w:rsidRPr="00D771AF" w:rsidRDefault="00F10D7C" w:rsidP="00E04A34">
            <w:pPr>
              <w:jc w:val="center"/>
              <w:rPr>
                <w:sz w:val="20"/>
              </w:rPr>
            </w:pPr>
            <w:r>
              <w:rPr>
                <w:sz w:val="20"/>
              </w:rPr>
              <w:t>35</w:t>
            </w:r>
          </w:p>
        </w:tc>
      </w:tr>
      <w:tr w:rsidR="00E04A34" w:rsidTr="009C3530">
        <w:tc>
          <w:tcPr>
            <w:tcW w:w="1889" w:type="dxa"/>
            <w:vMerge/>
          </w:tcPr>
          <w:p w:rsidR="00E04A34" w:rsidRPr="00D771AF" w:rsidRDefault="00E04A34" w:rsidP="00E04A34">
            <w:pPr>
              <w:jc w:val="center"/>
              <w:rPr>
                <w:sz w:val="20"/>
              </w:rPr>
            </w:pPr>
          </w:p>
        </w:tc>
        <w:tc>
          <w:tcPr>
            <w:tcW w:w="1926" w:type="dxa"/>
          </w:tcPr>
          <w:p w:rsidR="00E04A34" w:rsidRPr="00D771AF" w:rsidRDefault="00E04A34" w:rsidP="00E04A34">
            <w:pPr>
              <w:jc w:val="center"/>
              <w:rPr>
                <w:sz w:val="20"/>
              </w:rPr>
            </w:pPr>
            <w:r w:rsidRPr="00D771AF">
              <w:rPr>
                <w:sz w:val="20"/>
              </w:rPr>
              <w:t xml:space="preserve">120 </w:t>
            </w:r>
          </w:p>
        </w:tc>
        <w:tc>
          <w:tcPr>
            <w:tcW w:w="2247" w:type="dxa"/>
          </w:tcPr>
          <w:p w:rsidR="00E04A34" w:rsidRPr="00D771AF" w:rsidRDefault="00E04A34" w:rsidP="00F10D7C">
            <w:pPr>
              <w:jc w:val="center"/>
              <w:rPr>
                <w:sz w:val="20"/>
              </w:rPr>
            </w:pPr>
            <w:r w:rsidRPr="00D771AF">
              <w:rPr>
                <w:sz w:val="20"/>
              </w:rPr>
              <w:t>0.1</w:t>
            </w:r>
            <w:r w:rsidR="00F10D7C">
              <w:rPr>
                <w:sz w:val="20"/>
              </w:rPr>
              <w:t>33</w:t>
            </w:r>
          </w:p>
        </w:tc>
        <w:tc>
          <w:tcPr>
            <w:tcW w:w="1802" w:type="dxa"/>
          </w:tcPr>
          <w:p w:rsidR="00E04A34" w:rsidRPr="00D771AF" w:rsidRDefault="00F10D7C" w:rsidP="00E04A34">
            <w:pPr>
              <w:jc w:val="center"/>
              <w:rPr>
                <w:sz w:val="20"/>
              </w:rPr>
            </w:pPr>
            <w:r>
              <w:rPr>
                <w:sz w:val="20"/>
              </w:rPr>
              <w:t>0.433</w:t>
            </w:r>
          </w:p>
        </w:tc>
        <w:tc>
          <w:tcPr>
            <w:tcW w:w="1712" w:type="dxa"/>
          </w:tcPr>
          <w:p w:rsidR="00E04A34" w:rsidRPr="00D771AF" w:rsidRDefault="00F10D7C" w:rsidP="00E04A34">
            <w:pPr>
              <w:jc w:val="center"/>
              <w:rPr>
                <w:sz w:val="20"/>
              </w:rPr>
            </w:pPr>
            <w:r>
              <w:rPr>
                <w:sz w:val="20"/>
              </w:rPr>
              <w:t>31</w:t>
            </w:r>
          </w:p>
        </w:tc>
      </w:tr>
    </w:tbl>
    <w:p w:rsidR="00623335" w:rsidRDefault="00623335" w:rsidP="00623335"/>
    <w:p w:rsidR="00623335" w:rsidRDefault="00623335" w:rsidP="00623335">
      <w:r>
        <w:t xml:space="preserve">The agreement between methods declined when modelling longer-duration storms, with the exception of the pre-development 15-minute storm, which resulted in almost complete agreement of peak discharge. Agreement between methods slightly declined </w:t>
      </w:r>
      <w:r w:rsidR="009C3530">
        <w:t xml:space="preserve">further </w:t>
      </w:r>
      <w:r>
        <w:t>for post-development storms comp</w:t>
      </w:r>
      <w:r w:rsidR="009C3530">
        <w:t>ared to pre-development storms.</w:t>
      </w:r>
      <w:r>
        <w:t xml:space="preserve"> </w:t>
      </w:r>
      <w:r w:rsidR="009C3530">
        <w:t xml:space="preserve">Pre-development Rational Method underestimated peak discharge flows for storm durations between 20 and 120 minutes, and </w:t>
      </w:r>
      <w:r w:rsidR="009C3530">
        <w:lastRenderedPageBreak/>
        <w:t>overestimated peak discharge for the 10-minute storm; the method underestimated peak flows for all storm durations in the post-development scenario.</w:t>
      </w:r>
      <w:r w:rsidR="00964D29">
        <w:t xml:space="preserve"> </w:t>
      </w:r>
    </w:p>
    <w:p w:rsidR="00972801" w:rsidRDefault="00964D29" w:rsidP="00623335">
      <w:r>
        <w:t xml:space="preserve">The Rational Method coefficient of runoff was calculated to be </w:t>
      </w:r>
      <w:r w:rsidR="00BE73A2">
        <w:t>0.97</w:t>
      </w:r>
      <w:r>
        <w:t xml:space="preserve"> pre-development for the 1% AEP storm. The coefficient is limited to 1.0 as a maximum value. Therefore, </w:t>
      </w:r>
      <w:r w:rsidR="00BE73A2">
        <w:t>the difference in calculated peak flows between pre- and post-development scenarios is only 3%. XPRAFTS modelling provided increases in peak flows of up to 66% be</w:t>
      </w:r>
      <w:r w:rsidR="00305A3A">
        <w:t>tween pre- and post-development, indicating that infiltra</w:t>
      </w:r>
      <w:r w:rsidR="007C1931">
        <w:t xml:space="preserve">tion and permeability is determined </w:t>
      </w:r>
      <w:r w:rsidR="00305A3A">
        <w:t xml:space="preserve">differently in XPRAFTS.  </w:t>
      </w:r>
    </w:p>
    <w:p w:rsidR="007C1931" w:rsidRPr="007C1931" w:rsidRDefault="00DE5014" w:rsidP="007C1931">
      <w:pPr>
        <w:pStyle w:val="Heading1"/>
        <w:numPr>
          <w:ilvl w:val="0"/>
          <w:numId w:val="10"/>
        </w:numPr>
      </w:pPr>
      <w:r w:rsidRPr="00304A6A">
        <w:t>Conclusion</w:t>
      </w:r>
    </w:p>
    <w:p w:rsidR="007C1931" w:rsidRPr="007C1931" w:rsidRDefault="009B17DB" w:rsidP="00E3167B">
      <w:r>
        <w:t xml:space="preserve">Calculated peak discharges can vary greatly between 1D modelling results and Rational Method results. Significantly, the Rational Method was shown to underestimate peak flows for 10 out of 12 design storms. This could have significant impacts in a real storm design, with the possibility of under-designing drainage and flow control devices. Furthermore, the </w:t>
      </w:r>
      <w:r w:rsidR="004415D8">
        <w:t xml:space="preserve">Rational Method was shown to be much more time-costly for a full set of design storms. </w:t>
      </w:r>
    </w:p>
    <w:p w:rsidR="007C1931" w:rsidRDefault="007C1931" w:rsidP="007C1931">
      <w:pPr>
        <w:pStyle w:val="Heading1"/>
        <w:numPr>
          <w:ilvl w:val="0"/>
          <w:numId w:val="10"/>
        </w:numPr>
      </w:pPr>
      <w:r w:rsidRPr="007C1931">
        <w:t>References</w:t>
      </w:r>
    </w:p>
    <w:p w:rsidR="007C1931" w:rsidRPr="00761627" w:rsidRDefault="00761627" w:rsidP="00761627">
      <w:pPr>
        <w:pStyle w:val="ListParagraph"/>
        <w:numPr>
          <w:ilvl w:val="0"/>
          <w:numId w:val="24"/>
        </w:numPr>
        <w:rPr>
          <w:i/>
        </w:rPr>
      </w:pPr>
      <w:proofErr w:type="spellStart"/>
      <w:r>
        <w:t>Goyen</w:t>
      </w:r>
      <w:proofErr w:type="spellEnd"/>
      <w:r>
        <w:t xml:space="preserve">, A. </w:t>
      </w:r>
      <w:proofErr w:type="gramStart"/>
      <w:r>
        <w:t>et</w:t>
      </w:r>
      <w:proofErr w:type="gramEnd"/>
      <w:r>
        <w:t xml:space="preserve">. al. 2014. </w:t>
      </w:r>
      <w:r w:rsidRPr="00761627">
        <w:rPr>
          <w:i/>
        </w:rPr>
        <w:t>Project 13 Stage 3: Urban Rational Method Review.</w:t>
      </w:r>
      <w:r>
        <w:t xml:space="preserve"> Australian Rainfall &amp; Runoff, ACT.</w:t>
      </w:r>
    </w:p>
    <w:p w:rsidR="00761627" w:rsidRPr="00761627" w:rsidRDefault="00761627" w:rsidP="00761627">
      <w:pPr>
        <w:pStyle w:val="ListParagraph"/>
        <w:numPr>
          <w:ilvl w:val="0"/>
          <w:numId w:val="24"/>
        </w:numPr>
        <w:rPr>
          <w:i/>
        </w:rPr>
      </w:pPr>
      <w:r>
        <w:t xml:space="preserve">Office of the Queensland Chief Scientist. 2011. </w:t>
      </w:r>
      <w:r>
        <w:rPr>
          <w:i/>
        </w:rPr>
        <w:t xml:space="preserve">Understanding Floods. </w:t>
      </w:r>
      <w:r>
        <w:t xml:space="preserve">Queensland Government, </w:t>
      </w:r>
      <w:proofErr w:type="spellStart"/>
      <w:r>
        <w:t>Qld</w:t>
      </w:r>
      <w:proofErr w:type="spellEnd"/>
      <w:r>
        <w:t xml:space="preserve">. </w:t>
      </w:r>
    </w:p>
    <w:p w:rsidR="00761627" w:rsidRPr="00761627" w:rsidRDefault="00761627" w:rsidP="00761627">
      <w:pPr>
        <w:pStyle w:val="ListParagraph"/>
        <w:numPr>
          <w:ilvl w:val="0"/>
          <w:numId w:val="24"/>
        </w:numPr>
        <w:rPr>
          <w:i/>
        </w:rPr>
      </w:pPr>
      <w:r>
        <w:t xml:space="preserve">Queensland Government. 2013. </w:t>
      </w:r>
      <w:r w:rsidRPr="00761627">
        <w:rPr>
          <w:i/>
        </w:rPr>
        <w:t>Queensland Urban Drainage Manual</w:t>
      </w:r>
      <w:r>
        <w:rPr>
          <w:i/>
        </w:rPr>
        <w:t xml:space="preserve"> – Third edition 2013 – provisional. </w:t>
      </w:r>
      <w:r>
        <w:t xml:space="preserve">Department of Energy and Water Supply, </w:t>
      </w:r>
      <w:proofErr w:type="spellStart"/>
      <w:r>
        <w:t>Qld</w:t>
      </w:r>
      <w:proofErr w:type="spellEnd"/>
      <w:r>
        <w:t xml:space="preserve">. </w:t>
      </w:r>
    </w:p>
    <w:p w:rsidR="00761627" w:rsidRDefault="00761627" w:rsidP="007C1931"/>
    <w:p w:rsidR="00761627" w:rsidRPr="007C1931" w:rsidRDefault="00761627" w:rsidP="007C1931">
      <w:pPr>
        <w:rPr>
          <w:b/>
        </w:rPr>
      </w:pPr>
    </w:p>
    <w:sectPr w:rsidR="00761627" w:rsidRPr="007C1931" w:rsidSect="003C4E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E36" w:rsidRDefault="00516E36" w:rsidP="00261154">
      <w:pPr>
        <w:spacing w:after="0" w:line="240" w:lineRule="auto"/>
      </w:pPr>
      <w:r>
        <w:separator/>
      </w:r>
    </w:p>
  </w:endnote>
  <w:endnote w:type="continuationSeparator" w:id="0">
    <w:p w:rsidR="00516E36" w:rsidRDefault="00516E36" w:rsidP="00261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4" w:rsidRDefault="00E04A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4" w:rsidRDefault="00E04A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4" w:rsidRDefault="00E04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E36" w:rsidRDefault="00516E36" w:rsidP="00261154">
      <w:pPr>
        <w:spacing w:after="0" w:line="240" w:lineRule="auto"/>
      </w:pPr>
      <w:r>
        <w:separator/>
      </w:r>
    </w:p>
  </w:footnote>
  <w:footnote w:type="continuationSeparator" w:id="0">
    <w:p w:rsidR="00516E36" w:rsidRDefault="00516E36" w:rsidP="00261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4" w:rsidRDefault="00E04A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4" w:rsidRDefault="00E04A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4" w:rsidRDefault="00E04A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7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7231EF"/>
    <w:multiLevelType w:val="hybridMultilevel"/>
    <w:tmpl w:val="625A8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4B3FB4"/>
    <w:multiLevelType w:val="hybridMultilevel"/>
    <w:tmpl w:val="BBEE224A"/>
    <w:lvl w:ilvl="0" w:tplc="6B2C08F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D2D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C74EE7"/>
    <w:multiLevelType w:val="hybridMultilevel"/>
    <w:tmpl w:val="625AA78A"/>
    <w:lvl w:ilvl="0" w:tplc="0A441EA4">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3155EA"/>
    <w:multiLevelType w:val="hybridMultilevel"/>
    <w:tmpl w:val="8C760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1946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95778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F097AED"/>
    <w:multiLevelType w:val="hybridMultilevel"/>
    <w:tmpl w:val="8AB4A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6B1B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46219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E425AE"/>
    <w:multiLevelType w:val="hybridMultilevel"/>
    <w:tmpl w:val="6EA404C6"/>
    <w:lvl w:ilvl="0" w:tplc="6D20CD6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E764E2"/>
    <w:multiLevelType w:val="hybridMultilevel"/>
    <w:tmpl w:val="4F7A7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A1C57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AE201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32623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71D3852"/>
    <w:multiLevelType w:val="hybridMultilevel"/>
    <w:tmpl w:val="F976E756"/>
    <w:lvl w:ilvl="0" w:tplc="C434822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FD05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CC4C8A"/>
    <w:multiLevelType w:val="hybridMultilevel"/>
    <w:tmpl w:val="A8EE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652D97"/>
    <w:multiLevelType w:val="hybridMultilevel"/>
    <w:tmpl w:val="5F86F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7334C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9315AC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0E37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A8F123E"/>
    <w:multiLevelType w:val="hybridMultilevel"/>
    <w:tmpl w:val="0CA09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
  </w:num>
  <w:num w:numId="4">
    <w:abstractNumId w:val="11"/>
  </w:num>
  <w:num w:numId="5">
    <w:abstractNumId w:val="8"/>
  </w:num>
  <w:num w:numId="6">
    <w:abstractNumId w:val="17"/>
  </w:num>
  <w:num w:numId="7">
    <w:abstractNumId w:val="21"/>
  </w:num>
  <w:num w:numId="8">
    <w:abstractNumId w:val="0"/>
  </w:num>
  <w:num w:numId="9">
    <w:abstractNumId w:val="10"/>
  </w:num>
  <w:num w:numId="10">
    <w:abstractNumId w:val="22"/>
  </w:num>
  <w:num w:numId="11">
    <w:abstractNumId w:val="3"/>
  </w:num>
  <w:num w:numId="12">
    <w:abstractNumId w:val="7"/>
  </w:num>
  <w:num w:numId="13">
    <w:abstractNumId w:val="9"/>
  </w:num>
  <w:num w:numId="14">
    <w:abstractNumId w:val="6"/>
  </w:num>
  <w:num w:numId="15">
    <w:abstractNumId w:val="14"/>
  </w:num>
  <w:num w:numId="16">
    <w:abstractNumId w:val="15"/>
  </w:num>
  <w:num w:numId="17">
    <w:abstractNumId w:val="20"/>
  </w:num>
  <w:num w:numId="18">
    <w:abstractNumId w:val="13"/>
  </w:num>
  <w:num w:numId="19">
    <w:abstractNumId w:val="12"/>
  </w:num>
  <w:num w:numId="20">
    <w:abstractNumId w:val="19"/>
  </w:num>
  <w:num w:numId="21">
    <w:abstractNumId w:val="1"/>
  </w:num>
  <w:num w:numId="22">
    <w:abstractNumId w:val="23"/>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67B"/>
    <w:rsid w:val="000709A4"/>
    <w:rsid w:val="000A0DE1"/>
    <w:rsid w:val="00102D22"/>
    <w:rsid w:val="001420FD"/>
    <w:rsid w:val="001613E7"/>
    <w:rsid w:val="00164E73"/>
    <w:rsid w:val="0017261F"/>
    <w:rsid w:val="001B386B"/>
    <w:rsid w:val="00243CE8"/>
    <w:rsid w:val="00260A86"/>
    <w:rsid w:val="00261154"/>
    <w:rsid w:val="002835B1"/>
    <w:rsid w:val="002B1DBF"/>
    <w:rsid w:val="002C7521"/>
    <w:rsid w:val="002D792F"/>
    <w:rsid w:val="002F709D"/>
    <w:rsid w:val="00303387"/>
    <w:rsid w:val="00304217"/>
    <w:rsid w:val="00304A6A"/>
    <w:rsid w:val="00305A3A"/>
    <w:rsid w:val="003118C5"/>
    <w:rsid w:val="0032140A"/>
    <w:rsid w:val="00343675"/>
    <w:rsid w:val="003A4211"/>
    <w:rsid w:val="003B15AB"/>
    <w:rsid w:val="003C4E7D"/>
    <w:rsid w:val="003E468F"/>
    <w:rsid w:val="004415D8"/>
    <w:rsid w:val="004608D3"/>
    <w:rsid w:val="00492EB7"/>
    <w:rsid w:val="004B25FB"/>
    <w:rsid w:val="00516E36"/>
    <w:rsid w:val="00527B62"/>
    <w:rsid w:val="00553FC6"/>
    <w:rsid w:val="00557103"/>
    <w:rsid w:val="00566311"/>
    <w:rsid w:val="00623335"/>
    <w:rsid w:val="00626BE2"/>
    <w:rsid w:val="00692B52"/>
    <w:rsid w:val="006B0281"/>
    <w:rsid w:val="006B6400"/>
    <w:rsid w:val="00721A60"/>
    <w:rsid w:val="00756562"/>
    <w:rsid w:val="00761627"/>
    <w:rsid w:val="00796BE5"/>
    <w:rsid w:val="007C1931"/>
    <w:rsid w:val="007C717B"/>
    <w:rsid w:val="007E1701"/>
    <w:rsid w:val="007E7D76"/>
    <w:rsid w:val="008324B2"/>
    <w:rsid w:val="00833843"/>
    <w:rsid w:val="00845806"/>
    <w:rsid w:val="008621BF"/>
    <w:rsid w:val="00931C0F"/>
    <w:rsid w:val="009425BD"/>
    <w:rsid w:val="00964613"/>
    <w:rsid w:val="00964D29"/>
    <w:rsid w:val="00972801"/>
    <w:rsid w:val="00990F11"/>
    <w:rsid w:val="009B17DB"/>
    <w:rsid w:val="009C3530"/>
    <w:rsid w:val="009C3659"/>
    <w:rsid w:val="009E13AB"/>
    <w:rsid w:val="009F604E"/>
    <w:rsid w:val="00A50D06"/>
    <w:rsid w:val="00A9345D"/>
    <w:rsid w:val="00AA7B17"/>
    <w:rsid w:val="00AB10CC"/>
    <w:rsid w:val="00B60984"/>
    <w:rsid w:val="00B60E5A"/>
    <w:rsid w:val="00B70DD5"/>
    <w:rsid w:val="00B771AE"/>
    <w:rsid w:val="00BE73A2"/>
    <w:rsid w:val="00C513F0"/>
    <w:rsid w:val="00C57D96"/>
    <w:rsid w:val="00C67A15"/>
    <w:rsid w:val="00C960C4"/>
    <w:rsid w:val="00CC159D"/>
    <w:rsid w:val="00D771AF"/>
    <w:rsid w:val="00D933A9"/>
    <w:rsid w:val="00DB0EE8"/>
    <w:rsid w:val="00DB4BDA"/>
    <w:rsid w:val="00DE5014"/>
    <w:rsid w:val="00E04A34"/>
    <w:rsid w:val="00E23220"/>
    <w:rsid w:val="00E3167B"/>
    <w:rsid w:val="00E406FB"/>
    <w:rsid w:val="00EA21E0"/>
    <w:rsid w:val="00EB6636"/>
    <w:rsid w:val="00F10D7C"/>
    <w:rsid w:val="00F67E14"/>
    <w:rsid w:val="00F7193D"/>
    <w:rsid w:val="00FD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E73"/>
    <w:pPr>
      <w:jc w:val="both"/>
    </w:pPr>
    <w:rPr>
      <w:rFonts w:ascii="Arial" w:hAnsi="Arial"/>
    </w:rPr>
  </w:style>
  <w:style w:type="paragraph" w:styleId="Heading1">
    <w:name w:val="heading 1"/>
    <w:basedOn w:val="Normal"/>
    <w:next w:val="Normal"/>
    <w:link w:val="Heading1Char"/>
    <w:uiPriority w:val="9"/>
    <w:qFormat/>
    <w:rsid w:val="00164E73"/>
    <w:pPr>
      <w:keepNext/>
      <w:keepLines/>
      <w:spacing w:before="480" w:after="0"/>
      <w:outlineLvl w:val="0"/>
    </w:pPr>
    <w:rPr>
      <w:rFonts w:ascii="Arial Bold" w:eastAsiaTheme="majorEastAsia" w:hAnsi="Arial Bold" w:cstheme="majorBidi"/>
      <w:b/>
      <w:bCs/>
      <w:caps/>
      <w:sz w:val="28"/>
      <w:szCs w:val="28"/>
    </w:rPr>
  </w:style>
  <w:style w:type="paragraph" w:styleId="Heading2">
    <w:name w:val="heading 2"/>
    <w:basedOn w:val="Normal"/>
    <w:next w:val="Normal"/>
    <w:link w:val="Heading2Char"/>
    <w:uiPriority w:val="9"/>
    <w:unhideWhenUsed/>
    <w:qFormat/>
    <w:rsid w:val="00164E73"/>
    <w:pPr>
      <w:keepNext/>
      <w:keepLines/>
      <w:spacing w:before="200" w:after="0"/>
      <w:outlineLvl w:val="1"/>
    </w:pPr>
    <w:rPr>
      <w:rFonts w:ascii="Arial Bold" w:eastAsiaTheme="majorEastAsia" w:hAnsi="Arial Bold" w:cstheme="majorBidi"/>
      <w:b/>
      <w:bCs/>
      <w:sz w:val="24"/>
      <w:szCs w:val="26"/>
    </w:rPr>
  </w:style>
  <w:style w:type="paragraph" w:styleId="Heading3">
    <w:name w:val="heading 3"/>
    <w:basedOn w:val="Normal"/>
    <w:next w:val="Normal"/>
    <w:link w:val="Heading3Char"/>
    <w:uiPriority w:val="9"/>
    <w:unhideWhenUsed/>
    <w:qFormat/>
    <w:rsid w:val="00553FC6"/>
    <w:pPr>
      <w:keepNext/>
      <w:keepLines/>
      <w:spacing w:before="200" w:after="0"/>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154"/>
  </w:style>
  <w:style w:type="paragraph" w:styleId="Footer">
    <w:name w:val="footer"/>
    <w:basedOn w:val="Normal"/>
    <w:link w:val="FooterChar"/>
    <w:uiPriority w:val="99"/>
    <w:unhideWhenUsed/>
    <w:rsid w:val="00261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154"/>
  </w:style>
  <w:style w:type="paragraph" w:styleId="ListParagraph">
    <w:name w:val="List Paragraph"/>
    <w:basedOn w:val="Normal"/>
    <w:uiPriority w:val="34"/>
    <w:qFormat/>
    <w:rsid w:val="00E3167B"/>
    <w:pPr>
      <w:ind w:left="720"/>
      <w:contextualSpacing/>
    </w:pPr>
  </w:style>
  <w:style w:type="character" w:styleId="Hyperlink">
    <w:name w:val="Hyperlink"/>
    <w:basedOn w:val="DefaultParagraphFont"/>
    <w:uiPriority w:val="99"/>
    <w:unhideWhenUsed/>
    <w:rsid w:val="004608D3"/>
    <w:rPr>
      <w:color w:val="0000FF" w:themeColor="hyperlink"/>
      <w:u w:val="single"/>
    </w:rPr>
  </w:style>
  <w:style w:type="character" w:styleId="PlaceholderText">
    <w:name w:val="Placeholder Text"/>
    <w:basedOn w:val="DefaultParagraphFont"/>
    <w:uiPriority w:val="99"/>
    <w:semiHidden/>
    <w:rsid w:val="00B60984"/>
    <w:rPr>
      <w:color w:val="808080"/>
    </w:rPr>
  </w:style>
  <w:style w:type="paragraph" w:styleId="BalloonText">
    <w:name w:val="Balloon Text"/>
    <w:basedOn w:val="Normal"/>
    <w:link w:val="BalloonTextChar"/>
    <w:uiPriority w:val="99"/>
    <w:semiHidden/>
    <w:unhideWhenUsed/>
    <w:rsid w:val="00B60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984"/>
    <w:rPr>
      <w:rFonts w:ascii="Tahoma" w:hAnsi="Tahoma" w:cs="Tahoma"/>
      <w:sz w:val="16"/>
      <w:szCs w:val="16"/>
    </w:rPr>
  </w:style>
  <w:style w:type="character" w:customStyle="1" w:styleId="Heading1Char">
    <w:name w:val="Heading 1 Char"/>
    <w:basedOn w:val="DefaultParagraphFont"/>
    <w:link w:val="Heading1"/>
    <w:uiPriority w:val="9"/>
    <w:rsid w:val="00164E73"/>
    <w:rPr>
      <w:rFonts w:ascii="Arial Bold" w:eastAsiaTheme="majorEastAsia" w:hAnsi="Arial Bold" w:cstheme="majorBidi"/>
      <w:b/>
      <w:bCs/>
      <w:caps/>
      <w:sz w:val="28"/>
      <w:szCs w:val="28"/>
    </w:rPr>
  </w:style>
  <w:style w:type="character" w:customStyle="1" w:styleId="Heading2Char">
    <w:name w:val="Heading 2 Char"/>
    <w:basedOn w:val="DefaultParagraphFont"/>
    <w:link w:val="Heading2"/>
    <w:uiPriority w:val="9"/>
    <w:rsid w:val="00164E73"/>
    <w:rPr>
      <w:rFonts w:ascii="Arial Bold" w:eastAsiaTheme="majorEastAsia" w:hAnsi="Arial Bold" w:cstheme="majorBidi"/>
      <w:b/>
      <w:bCs/>
      <w:sz w:val="24"/>
      <w:szCs w:val="26"/>
    </w:rPr>
  </w:style>
  <w:style w:type="character" w:customStyle="1" w:styleId="Heading3Char">
    <w:name w:val="Heading 3 Char"/>
    <w:basedOn w:val="DefaultParagraphFont"/>
    <w:link w:val="Heading3"/>
    <w:uiPriority w:val="9"/>
    <w:rsid w:val="00553FC6"/>
    <w:rPr>
      <w:rFonts w:ascii="Arial" w:eastAsiaTheme="majorEastAsia" w:hAnsi="Arial" w:cstheme="majorBidi"/>
      <w:b/>
      <w:bCs/>
    </w:rPr>
  </w:style>
  <w:style w:type="table" w:styleId="TableGrid">
    <w:name w:val="Table Grid"/>
    <w:basedOn w:val="TableNormal"/>
    <w:uiPriority w:val="59"/>
    <w:rsid w:val="00AB1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0D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E73"/>
    <w:pPr>
      <w:jc w:val="both"/>
    </w:pPr>
    <w:rPr>
      <w:rFonts w:ascii="Arial" w:hAnsi="Arial"/>
    </w:rPr>
  </w:style>
  <w:style w:type="paragraph" w:styleId="Heading1">
    <w:name w:val="heading 1"/>
    <w:basedOn w:val="Normal"/>
    <w:next w:val="Normal"/>
    <w:link w:val="Heading1Char"/>
    <w:uiPriority w:val="9"/>
    <w:qFormat/>
    <w:rsid w:val="00164E73"/>
    <w:pPr>
      <w:keepNext/>
      <w:keepLines/>
      <w:spacing w:before="480" w:after="0"/>
      <w:outlineLvl w:val="0"/>
    </w:pPr>
    <w:rPr>
      <w:rFonts w:ascii="Arial Bold" w:eastAsiaTheme="majorEastAsia" w:hAnsi="Arial Bold" w:cstheme="majorBidi"/>
      <w:b/>
      <w:bCs/>
      <w:caps/>
      <w:sz w:val="28"/>
      <w:szCs w:val="28"/>
    </w:rPr>
  </w:style>
  <w:style w:type="paragraph" w:styleId="Heading2">
    <w:name w:val="heading 2"/>
    <w:basedOn w:val="Normal"/>
    <w:next w:val="Normal"/>
    <w:link w:val="Heading2Char"/>
    <w:uiPriority w:val="9"/>
    <w:unhideWhenUsed/>
    <w:qFormat/>
    <w:rsid w:val="00164E73"/>
    <w:pPr>
      <w:keepNext/>
      <w:keepLines/>
      <w:spacing w:before="200" w:after="0"/>
      <w:outlineLvl w:val="1"/>
    </w:pPr>
    <w:rPr>
      <w:rFonts w:ascii="Arial Bold" w:eastAsiaTheme="majorEastAsia" w:hAnsi="Arial Bold" w:cstheme="majorBidi"/>
      <w:b/>
      <w:bCs/>
      <w:sz w:val="24"/>
      <w:szCs w:val="26"/>
    </w:rPr>
  </w:style>
  <w:style w:type="paragraph" w:styleId="Heading3">
    <w:name w:val="heading 3"/>
    <w:basedOn w:val="Normal"/>
    <w:next w:val="Normal"/>
    <w:link w:val="Heading3Char"/>
    <w:uiPriority w:val="9"/>
    <w:unhideWhenUsed/>
    <w:qFormat/>
    <w:rsid w:val="00553FC6"/>
    <w:pPr>
      <w:keepNext/>
      <w:keepLines/>
      <w:spacing w:before="200" w:after="0"/>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154"/>
  </w:style>
  <w:style w:type="paragraph" w:styleId="Footer">
    <w:name w:val="footer"/>
    <w:basedOn w:val="Normal"/>
    <w:link w:val="FooterChar"/>
    <w:uiPriority w:val="99"/>
    <w:unhideWhenUsed/>
    <w:rsid w:val="00261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154"/>
  </w:style>
  <w:style w:type="paragraph" w:styleId="ListParagraph">
    <w:name w:val="List Paragraph"/>
    <w:basedOn w:val="Normal"/>
    <w:uiPriority w:val="34"/>
    <w:qFormat/>
    <w:rsid w:val="00E3167B"/>
    <w:pPr>
      <w:ind w:left="720"/>
      <w:contextualSpacing/>
    </w:pPr>
  </w:style>
  <w:style w:type="character" w:styleId="Hyperlink">
    <w:name w:val="Hyperlink"/>
    <w:basedOn w:val="DefaultParagraphFont"/>
    <w:uiPriority w:val="99"/>
    <w:unhideWhenUsed/>
    <w:rsid w:val="004608D3"/>
    <w:rPr>
      <w:color w:val="0000FF" w:themeColor="hyperlink"/>
      <w:u w:val="single"/>
    </w:rPr>
  </w:style>
  <w:style w:type="character" w:styleId="PlaceholderText">
    <w:name w:val="Placeholder Text"/>
    <w:basedOn w:val="DefaultParagraphFont"/>
    <w:uiPriority w:val="99"/>
    <w:semiHidden/>
    <w:rsid w:val="00B60984"/>
    <w:rPr>
      <w:color w:val="808080"/>
    </w:rPr>
  </w:style>
  <w:style w:type="paragraph" w:styleId="BalloonText">
    <w:name w:val="Balloon Text"/>
    <w:basedOn w:val="Normal"/>
    <w:link w:val="BalloonTextChar"/>
    <w:uiPriority w:val="99"/>
    <w:semiHidden/>
    <w:unhideWhenUsed/>
    <w:rsid w:val="00B60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984"/>
    <w:rPr>
      <w:rFonts w:ascii="Tahoma" w:hAnsi="Tahoma" w:cs="Tahoma"/>
      <w:sz w:val="16"/>
      <w:szCs w:val="16"/>
    </w:rPr>
  </w:style>
  <w:style w:type="character" w:customStyle="1" w:styleId="Heading1Char">
    <w:name w:val="Heading 1 Char"/>
    <w:basedOn w:val="DefaultParagraphFont"/>
    <w:link w:val="Heading1"/>
    <w:uiPriority w:val="9"/>
    <w:rsid w:val="00164E73"/>
    <w:rPr>
      <w:rFonts w:ascii="Arial Bold" w:eastAsiaTheme="majorEastAsia" w:hAnsi="Arial Bold" w:cstheme="majorBidi"/>
      <w:b/>
      <w:bCs/>
      <w:caps/>
      <w:sz w:val="28"/>
      <w:szCs w:val="28"/>
    </w:rPr>
  </w:style>
  <w:style w:type="character" w:customStyle="1" w:styleId="Heading2Char">
    <w:name w:val="Heading 2 Char"/>
    <w:basedOn w:val="DefaultParagraphFont"/>
    <w:link w:val="Heading2"/>
    <w:uiPriority w:val="9"/>
    <w:rsid w:val="00164E73"/>
    <w:rPr>
      <w:rFonts w:ascii="Arial Bold" w:eastAsiaTheme="majorEastAsia" w:hAnsi="Arial Bold" w:cstheme="majorBidi"/>
      <w:b/>
      <w:bCs/>
      <w:sz w:val="24"/>
      <w:szCs w:val="26"/>
    </w:rPr>
  </w:style>
  <w:style w:type="character" w:customStyle="1" w:styleId="Heading3Char">
    <w:name w:val="Heading 3 Char"/>
    <w:basedOn w:val="DefaultParagraphFont"/>
    <w:link w:val="Heading3"/>
    <w:uiPriority w:val="9"/>
    <w:rsid w:val="00553FC6"/>
    <w:rPr>
      <w:rFonts w:ascii="Arial" w:eastAsiaTheme="majorEastAsia" w:hAnsi="Arial" w:cstheme="majorBidi"/>
      <w:b/>
      <w:bCs/>
    </w:rPr>
  </w:style>
  <w:style w:type="table" w:styleId="TableGrid">
    <w:name w:val="Table Grid"/>
    <w:basedOn w:val="TableNormal"/>
    <w:uiPriority w:val="59"/>
    <w:rsid w:val="00AB1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0D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06438">
      <w:bodyDiv w:val="1"/>
      <w:marLeft w:val="0"/>
      <w:marRight w:val="0"/>
      <w:marTop w:val="0"/>
      <w:marBottom w:val="0"/>
      <w:divBdr>
        <w:top w:val="none" w:sz="0" w:space="0" w:color="auto"/>
        <w:left w:val="none" w:sz="0" w:space="0" w:color="auto"/>
        <w:bottom w:val="none" w:sz="0" w:space="0" w:color="auto"/>
        <w:right w:val="none" w:sz="0" w:space="0" w:color="auto"/>
      </w:divBdr>
    </w:div>
    <w:div w:id="195115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Agreement between design methods </a:t>
            </a:r>
          </a:p>
        </c:rich>
      </c:tx>
      <c:layout/>
      <c:overlay val="0"/>
    </c:title>
    <c:autoTitleDeleted val="0"/>
    <c:plotArea>
      <c:layout/>
      <c:scatterChart>
        <c:scatterStyle val="lineMarker"/>
        <c:varyColors val="0"/>
        <c:ser>
          <c:idx val="0"/>
          <c:order val="0"/>
          <c:tx>
            <c:v>Pre-development</c:v>
          </c:tx>
          <c:xVal>
            <c:numRef>
              <c:f>Sheet1!$G$7:$G$12</c:f>
              <c:numCache>
                <c:formatCode>General</c:formatCode>
                <c:ptCount val="6"/>
                <c:pt idx="0">
                  <c:v>10</c:v>
                </c:pt>
                <c:pt idx="1">
                  <c:v>15</c:v>
                </c:pt>
                <c:pt idx="2">
                  <c:v>20</c:v>
                </c:pt>
                <c:pt idx="3">
                  <c:v>30</c:v>
                </c:pt>
                <c:pt idx="4">
                  <c:v>60</c:v>
                </c:pt>
                <c:pt idx="5">
                  <c:v>120</c:v>
                </c:pt>
              </c:numCache>
            </c:numRef>
          </c:xVal>
          <c:yVal>
            <c:numRef>
              <c:f>Sheet1!$J$7:$J$12</c:f>
              <c:numCache>
                <c:formatCode>General</c:formatCode>
                <c:ptCount val="6"/>
                <c:pt idx="0">
                  <c:v>79</c:v>
                </c:pt>
                <c:pt idx="1">
                  <c:v>99</c:v>
                </c:pt>
                <c:pt idx="2">
                  <c:v>74</c:v>
                </c:pt>
                <c:pt idx="3">
                  <c:v>64</c:v>
                </c:pt>
                <c:pt idx="4">
                  <c:v>45</c:v>
                </c:pt>
                <c:pt idx="5">
                  <c:v>44</c:v>
                </c:pt>
              </c:numCache>
            </c:numRef>
          </c:yVal>
          <c:smooth val="0"/>
        </c:ser>
        <c:ser>
          <c:idx val="1"/>
          <c:order val="1"/>
          <c:tx>
            <c:v>Post-development</c:v>
          </c:tx>
          <c:xVal>
            <c:numRef>
              <c:f>Sheet1!$L$7:$L$12</c:f>
              <c:numCache>
                <c:formatCode>General</c:formatCode>
                <c:ptCount val="6"/>
                <c:pt idx="0">
                  <c:v>10</c:v>
                </c:pt>
                <c:pt idx="1">
                  <c:v>15</c:v>
                </c:pt>
                <c:pt idx="2">
                  <c:v>20</c:v>
                </c:pt>
                <c:pt idx="3">
                  <c:v>30</c:v>
                </c:pt>
                <c:pt idx="4">
                  <c:v>60</c:v>
                </c:pt>
                <c:pt idx="5">
                  <c:v>120</c:v>
                </c:pt>
              </c:numCache>
            </c:numRef>
          </c:xVal>
          <c:yVal>
            <c:numRef>
              <c:f>Sheet1!$O$7:$O$12</c:f>
              <c:numCache>
                <c:formatCode>General</c:formatCode>
                <c:ptCount val="6"/>
                <c:pt idx="0">
                  <c:v>79</c:v>
                </c:pt>
                <c:pt idx="1">
                  <c:v>69</c:v>
                </c:pt>
                <c:pt idx="2">
                  <c:v>57</c:v>
                </c:pt>
                <c:pt idx="3">
                  <c:v>53</c:v>
                </c:pt>
                <c:pt idx="4">
                  <c:v>35</c:v>
                </c:pt>
                <c:pt idx="5">
                  <c:v>31</c:v>
                </c:pt>
              </c:numCache>
            </c:numRef>
          </c:yVal>
          <c:smooth val="0"/>
        </c:ser>
        <c:dLbls>
          <c:showLegendKey val="0"/>
          <c:showVal val="0"/>
          <c:showCatName val="0"/>
          <c:showSerName val="0"/>
          <c:showPercent val="0"/>
          <c:showBubbleSize val="0"/>
        </c:dLbls>
        <c:axId val="115301760"/>
        <c:axId val="34932224"/>
      </c:scatterChart>
      <c:valAx>
        <c:axId val="115301760"/>
        <c:scaling>
          <c:orientation val="minMax"/>
          <c:max val="120"/>
          <c:min val="0"/>
        </c:scaling>
        <c:delete val="0"/>
        <c:axPos val="b"/>
        <c:title>
          <c:tx>
            <c:rich>
              <a:bodyPr/>
              <a:lstStyle/>
              <a:p>
                <a:pPr>
                  <a:defRPr/>
                </a:pPr>
                <a:r>
                  <a:rPr lang="en-AU"/>
                  <a:t>Storm duration (min)</a:t>
                </a:r>
              </a:p>
            </c:rich>
          </c:tx>
          <c:layout/>
          <c:overlay val="0"/>
        </c:title>
        <c:numFmt formatCode="General" sourceLinked="1"/>
        <c:majorTickMark val="none"/>
        <c:minorTickMark val="none"/>
        <c:tickLblPos val="nextTo"/>
        <c:crossAx val="34932224"/>
        <c:crosses val="autoZero"/>
        <c:crossBetween val="midCat"/>
      </c:valAx>
      <c:valAx>
        <c:axId val="34932224"/>
        <c:scaling>
          <c:orientation val="minMax"/>
        </c:scaling>
        <c:delete val="0"/>
        <c:axPos val="l"/>
        <c:majorGridlines/>
        <c:title>
          <c:tx>
            <c:rich>
              <a:bodyPr/>
              <a:lstStyle/>
              <a:p>
                <a:pPr>
                  <a:defRPr/>
                </a:pPr>
                <a:r>
                  <a:rPr lang="en-AU"/>
                  <a:t>Agreement in flow volumes (%)</a:t>
                </a:r>
              </a:p>
            </c:rich>
          </c:tx>
          <c:layout/>
          <c:overlay val="0"/>
        </c:title>
        <c:numFmt formatCode="General" sourceLinked="1"/>
        <c:majorTickMark val="none"/>
        <c:minorTickMark val="none"/>
        <c:tickLblPos val="nextTo"/>
        <c:crossAx val="115301760"/>
        <c:crosses val="autoZero"/>
        <c:crossBetween val="midCat"/>
      </c:valAx>
    </c:plotArea>
    <c:legend>
      <c:legendPos val="r"/>
      <c:layout>
        <c:manualLayout>
          <c:xMode val="edge"/>
          <c:yMode val="edge"/>
          <c:x val="0.70272348309402499"/>
          <c:y val="0.17848464306200135"/>
          <c:w val="0.24496760140802509"/>
          <c:h val="0.2786880116806591"/>
        </c:manualLayout>
      </c:layout>
      <c:overlay val="1"/>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Ruckli</dc:creator>
  <cp:lastModifiedBy>Mario Ruckli</cp:lastModifiedBy>
  <cp:revision>2</cp:revision>
  <dcterms:created xsi:type="dcterms:W3CDTF">2016-08-05T02:51:00Z</dcterms:created>
  <dcterms:modified xsi:type="dcterms:W3CDTF">2016-08-05T02:51:00Z</dcterms:modified>
</cp:coreProperties>
</file>